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Look w:val="01E0" w:firstRow="1" w:lastRow="1" w:firstColumn="1" w:lastColumn="1" w:noHBand="0" w:noVBand="0"/>
      </w:tblPr>
      <w:tblGrid>
        <w:gridCol w:w="3220"/>
        <w:gridCol w:w="6140"/>
      </w:tblGrid>
      <w:tr w:rsidR="00190AAB" w:rsidRPr="00C0314D" w:rsidTr="0094394A">
        <w:trPr>
          <w:trHeight w:val="701"/>
        </w:trPr>
        <w:tc>
          <w:tcPr>
            <w:tcW w:w="3220" w:type="dxa"/>
          </w:tcPr>
          <w:p w:rsidR="00190AAB" w:rsidRPr="00A44469" w:rsidRDefault="00190AAB" w:rsidP="009777C9">
            <w:pPr>
              <w:spacing w:line="240" w:lineRule="exact"/>
              <w:jc w:val="center"/>
              <w:rPr>
                <w:rFonts w:ascii=".VnTime" w:hAnsi=".VnTime"/>
                <w:b/>
                <w:color w:val="000000"/>
                <w:sz w:val="27"/>
                <w:szCs w:val="27"/>
                <w:lang w:val="nl-NL"/>
              </w:rPr>
            </w:pPr>
            <w:r>
              <w:rPr>
                <w:noProof/>
                <w:color w:val="000000"/>
                <w:lang w:val="vi-VN" w:eastAsia="vi-VN"/>
              </w:rPr>
              <mc:AlternateContent>
                <mc:Choice Requires="wps">
                  <w:drawing>
                    <wp:anchor distT="0" distB="0" distL="114300" distR="114300" simplePos="0" relativeHeight="251660288" behindDoc="0" locked="0" layoutInCell="1" allowOverlap="1" wp14:anchorId="1D787DD3" wp14:editId="327FD102">
                      <wp:simplePos x="0" y="0"/>
                      <wp:positionH relativeFrom="column">
                        <wp:posOffset>618613</wp:posOffset>
                      </wp:positionH>
                      <wp:positionV relativeFrom="paragraph">
                        <wp:posOffset>297377</wp:posOffset>
                      </wp:positionV>
                      <wp:extent cx="653143" cy="1"/>
                      <wp:effectExtent l="0" t="0" r="139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314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pt,23.4pt" to="100.1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XR7IwIAAD8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"/>
                  </w:pict>
                </mc:Fallback>
              </mc:AlternateContent>
            </w:r>
            <w:r w:rsidR="00C0314D">
              <w:rPr>
                <w:color w:val="000000"/>
                <w:lang w:val="vi-VN"/>
              </w:rPr>
              <w:t xml:space="preserve"> </w:t>
            </w:r>
            <w:r w:rsidRPr="00A44469">
              <w:rPr>
                <w:color w:val="000000"/>
                <w:lang w:val="nl-NL"/>
              </w:rPr>
              <w:br w:type="page"/>
            </w:r>
            <w:r w:rsidRPr="00A44469">
              <w:rPr>
                <w:b/>
                <w:color w:val="000000"/>
                <w:sz w:val="27"/>
                <w:szCs w:val="27"/>
                <w:lang w:val="nl-NL"/>
              </w:rPr>
              <w:t>BỘ TƯ PHÁP</w:t>
            </w:r>
          </w:p>
        </w:tc>
        <w:tc>
          <w:tcPr>
            <w:tcW w:w="6140" w:type="dxa"/>
          </w:tcPr>
          <w:p w:rsidR="00190AAB" w:rsidRPr="00A44469" w:rsidRDefault="00190AAB" w:rsidP="009777C9">
            <w:pPr>
              <w:spacing w:before="0" w:after="0" w:line="300" w:lineRule="exact"/>
              <w:jc w:val="center"/>
              <w:rPr>
                <w:b/>
                <w:color w:val="000000"/>
                <w:sz w:val="27"/>
                <w:szCs w:val="27"/>
                <w:lang w:val="nl-NL"/>
              </w:rPr>
            </w:pPr>
            <w:r w:rsidRPr="00A44469">
              <w:rPr>
                <w:b/>
                <w:color w:val="000000"/>
                <w:sz w:val="27"/>
                <w:szCs w:val="27"/>
                <w:lang w:val="nl-NL"/>
              </w:rPr>
              <w:t xml:space="preserve">CỘNG HOÀ XÃ HỘI CHỦ NGHĨA VIỆT NAM </w:t>
            </w:r>
          </w:p>
          <w:p w:rsidR="00190AAB" w:rsidRDefault="00BB1B70" w:rsidP="009777C9">
            <w:pPr>
              <w:spacing w:before="0" w:after="0" w:line="300" w:lineRule="exact"/>
              <w:jc w:val="center"/>
              <w:rPr>
                <w:rFonts w:ascii=".VnTime" w:hAnsi=".VnTime"/>
                <w:b/>
                <w:color w:val="000000"/>
                <w:sz w:val="27"/>
                <w:szCs w:val="27"/>
                <w:lang w:val="nl-NL"/>
              </w:rPr>
            </w:pPr>
            <w:r>
              <w:rPr>
                <w:rFonts w:ascii=".VnTime" w:hAnsi=".VnTime"/>
                <w:noProof/>
                <w:color w:val="000000"/>
                <w:sz w:val="27"/>
                <w:szCs w:val="27"/>
                <w:lang w:val="vi-VN" w:eastAsia="vi-VN"/>
              </w:rPr>
              <mc:AlternateContent>
                <mc:Choice Requires="wps">
                  <w:drawing>
                    <wp:anchor distT="0" distB="0" distL="114300" distR="114300" simplePos="0" relativeHeight="251659264" behindDoc="0" locked="0" layoutInCell="1" allowOverlap="1" wp14:anchorId="238E5EB6" wp14:editId="27D43E9D">
                      <wp:simplePos x="0" y="0"/>
                      <wp:positionH relativeFrom="column">
                        <wp:posOffset>908050</wp:posOffset>
                      </wp:positionH>
                      <wp:positionV relativeFrom="paragraph">
                        <wp:posOffset>219710</wp:posOffset>
                      </wp:positionV>
                      <wp:extent cx="1933575" cy="635"/>
                      <wp:effectExtent l="0" t="0" r="9525" b="37465"/>
                      <wp:wrapSquare wrapText="bothSides"/>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3357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17.3pt" to="223.7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" strokeweight="1pt">
                      <w10:wrap type="square"/>
                    </v:line>
                  </w:pict>
                </mc:Fallback>
              </mc:AlternateContent>
            </w:r>
            <w:r w:rsidR="00190AAB" w:rsidRPr="00A44469">
              <w:rPr>
                <w:rFonts w:ascii=".VnTime" w:hAnsi=".VnTime" w:cs="Arial"/>
                <w:b/>
                <w:color w:val="000000"/>
                <w:sz w:val="27"/>
                <w:szCs w:val="27"/>
                <w:lang w:val="nl-NL"/>
              </w:rPr>
              <w:t>§</w:t>
            </w:r>
            <w:r w:rsidR="00190AAB" w:rsidRPr="00A44469">
              <w:rPr>
                <w:rFonts w:ascii=".VnTime" w:hAnsi=".VnTime"/>
                <w:b/>
                <w:color w:val="000000"/>
                <w:sz w:val="27"/>
                <w:szCs w:val="27"/>
                <w:lang w:val="nl-NL"/>
              </w:rPr>
              <w:t>éc lËp - Tù do - H¹nh phóc</w:t>
            </w:r>
          </w:p>
          <w:p w:rsidR="00190AAB" w:rsidRPr="00A44469" w:rsidRDefault="00190AAB" w:rsidP="009777C9">
            <w:pPr>
              <w:spacing w:line="240" w:lineRule="exact"/>
              <w:jc w:val="center"/>
              <w:rPr>
                <w:rFonts w:ascii=".VnTime" w:hAnsi=".VnTime"/>
                <w:color w:val="000000"/>
                <w:sz w:val="27"/>
                <w:szCs w:val="27"/>
                <w:lang w:val="nl-NL"/>
              </w:rPr>
            </w:pPr>
          </w:p>
        </w:tc>
      </w:tr>
      <w:tr w:rsidR="00190AAB" w:rsidRPr="00F847CF" w:rsidTr="0094394A">
        <w:tc>
          <w:tcPr>
            <w:tcW w:w="3220" w:type="dxa"/>
          </w:tcPr>
          <w:p w:rsidR="00190AAB" w:rsidRPr="0094394A" w:rsidRDefault="00190AAB" w:rsidP="00E410E1">
            <w:pPr>
              <w:spacing w:after="0" w:line="240" w:lineRule="exact"/>
              <w:rPr>
                <w:rFonts w:cs="Times New Roman"/>
                <w:color w:val="000000"/>
                <w:szCs w:val="28"/>
                <w:lang w:val="nl-NL"/>
              </w:rPr>
            </w:pPr>
            <w:r w:rsidRPr="002E7AA6">
              <w:rPr>
                <w:color w:val="000000"/>
                <w:szCs w:val="28"/>
                <w:lang w:val="nl-NL"/>
              </w:rPr>
              <w:t xml:space="preserve">      </w:t>
            </w:r>
            <w:r w:rsidR="0094394A">
              <w:rPr>
                <w:rFonts w:cs="Times New Roman"/>
                <w:color w:val="000000"/>
                <w:szCs w:val="28"/>
                <w:lang w:val="nl-NL"/>
              </w:rPr>
              <w:t>Số:</w:t>
            </w:r>
            <w:r w:rsidR="002E7AA6" w:rsidRPr="0094394A">
              <w:rPr>
                <w:rFonts w:cs="Times New Roman"/>
                <w:color w:val="000000"/>
                <w:szCs w:val="28"/>
                <w:lang w:val="nl-NL"/>
              </w:rPr>
              <w:t xml:space="preserve"> </w:t>
            </w:r>
            <w:r w:rsidR="00E410E1">
              <w:rPr>
                <w:rFonts w:cs="Times New Roman"/>
                <w:color w:val="000000"/>
                <w:szCs w:val="28"/>
                <w:lang w:val="vi-VN"/>
              </w:rPr>
              <w:t xml:space="preserve">     </w:t>
            </w:r>
            <w:r w:rsidR="005D6A83">
              <w:rPr>
                <w:rFonts w:cs="Times New Roman"/>
                <w:color w:val="000000"/>
                <w:szCs w:val="28"/>
              </w:rPr>
              <w:t xml:space="preserve">  </w:t>
            </w:r>
            <w:r w:rsidR="00E410E1">
              <w:rPr>
                <w:rFonts w:cs="Times New Roman"/>
                <w:color w:val="000000"/>
                <w:szCs w:val="28"/>
                <w:lang w:val="vi-VN"/>
              </w:rPr>
              <w:t xml:space="preserve"> </w:t>
            </w:r>
            <w:r w:rsidR="002E7AA6" w:rsidRPr="0094394A">
              <w:rPr>
                <w:rFonts w:cs="Times New Roman"/>
                <w:color w:val="000000"/>
                <w:szCs w:val="28"/>
                <w:lang w:val="nl-NL"/>
              </w:rPr>
              <w:t>/BC-BTP</w:t>
            </w:r>
          </w:p>
        </w:tc>
        <w:tc>
          <w:tcPr>
            <w:tcW w:w="6140" w:type="dxa"/>
          </w:tcPr>
          <w:p w:rsidR="00190AAB" w:rsidRPr="0095605B" w:rsidRDefault="00190AAB" w:rsidP="0094394A">
            <w:pPr>
              <w:spacing w:after="0" w:line="240" w:lineRule="exact"/>
              <w:rPr>
                <w:i/>
                <w:color w:val="000000"/>
                <w:sz w:val="27"/>
                <w:szCs w:val="27"/>
                <w:lang w:val="nl-NL"/>
              </w:rPr>
            </w:pPr>
            <w:r>
              <w:rPr>
                <w:i/>
                <w:color w:val="000000"/>
                <w:lang w:val="nl-NL"/>
              </w:rPr>
              <w:t xml:space="preserve">               </w:t>
            </w:r>
            <w:r w:rsidRPr="0095605B">
              <w:rPr>
                <w:i/>
                <w:color w:val="000000"/>
                <w:sz w:val="27"/>
                <w:szCs w:val="27"/>
                <w:lang w:val="nl-NL"/>
              </w:rPr>
              <w:t xml:space="preserve">Hà Nội, ngày   </w:t>
            </w:r>
            <w:r w:rsidR="00E410E1">
              <w:rPr>
                <w:i/>
                <w:color w:val="000000"/>
                <w:sz w:val="27"/>
                <w:szCs w:val="27"/>
                <w:lang w:val="vi-VN"/>
              </w:rPr>
              <w:t xml:space="preserve">   </w:t>
            </w:r>
            <w:r w:rsidRPr="0095605B">
              <w:rPr>
                <w:i/>
                <w:color w:val="000000"/>
                <w:sz w:val="27"/>
                <w:szCs w:val="27"/>
                <w:lang w:val="nl-NL"/>
              </w:rPr>
              <w:t xml:space="preserve"> tháng  </w:t>
            </w:r>
            <w:r w:rsidR="00E410E1">
              <w:rPr>
                <w:i/>
                <w:color w:val="000000"/>
                <w:sz w:val="27"/>
                <w:szCs w:val="27"/>
                <w:lang w:val="vi-VN"/>
              </w:rPr>
              <w:t xml:space="preserve">  </w:t>
            </w:r>
            <w:r w:rsidRPr="0095605B">
              <w:rPr>
                <w:i/>
                <w:color w:val="000000"/>
                <w:sz w:val="27"/>
                <w:szCs w:val="27"/>
                <w:lang w:val="nl-NL"/>
              </w:rPr>
              <w:t xml:space="preserve">  năm 20</w:t>
            </w:r>
            <w:r w:rsidR="005D6A83">
              <w:rPr>
                <w:i/>
                <w:color w:val="000000"/>
                <w:sz w:val="27"/>
                <w:szCs w:val="27"/>
                <w:lang w:val="nl-NL"/>
              </w:rPr>
              <w:t>24</w:t>
            </w:r>
          </w:p>
          <w:p w:rsidR="00190AAB" w:rsidRPr="00A44469" w:rsidRDefault="00190AAB" w:rsidP="0094394A">
            <w:pPr>
              <w:spacing w:line="240" w:lineRule="exact"/>
              <w:jc w:val="center"/>
              <w:rPr>
                <w:i/>
                <w:color w:val="000000"/>
                <w:lang w:val="nl-NL"/>
              </w:rPr>
            </w:pPr>
            <w:r w:rsidRPr="00A44469">
              <w:rPr>
                <w:i/>
                <w:color w:val="000000"/>
                <w:lang w:val="nl-NL"/>
              </w:rPr>
              <w:t xml:space="preserve">                             </w:t>
            </w:r>
          </w:p>
        </w:tc>
      </w:tr>
    </w:tbl>
    <w:p w:rsidR="007B0F31" w:rsidRDefault="00190AAB" w:rsidP="00190AAB">
      <w:pPr>
        <w:spacing w:before="0" w:after="0"/>
        <w:jc w:val="center"/>
        <w:rPr>
          <w:b/>
          <w:color w:val="000000"/>
          <w:sz w:val="27"/>
          <w:szCs w:val="27"/>
          <w:lang w:val="vi-VN"/>
        </w:rPr>
      </w:pPr>
      <w:r w:rsidRPr="00D332E9">
        <w:rPr>
          <w:b/>
          <w:color w:val="000000"/>
          <w:sz w:val="27"/>
          <w:szCs w:val="27"/>
          <w:lang w:val="nl-NL"/>
        </w:rPr>
        <w:t xml:space="preserve">BÁO CÁO </w:t>
      </w:r>
      <w:r w:rsidR="00CB2201">
        <w:rPr>
          <w:b/>
          <w:color w:val="000000"/>
          <w:sz w:val="27"/>
          <w:szCs w:val="27"/>
          <w:lang w:val="nl-NL"/>
        </w:rPr>
        <w:t>TỔNG KẾT</w:t>
      </w:r>
    </w:p>
    <w:p w:rsidR="007B0F31" w:rsidRDefault="00EF69E0" w:rsidP="00190AAB">
      <w:pPr>
        <w:spacing w:before="0" w:after="0"/>
        <w:jc w:val="center"/>
        <w:rPr>
          <w:b/>
          <w:color w:val="000000"/>
          <w:sz w:val="27"/>
          <w:szCs w:val="27"/>
          <w:lang w:val="vi-VN"/>
        </w:rPr>
      </w:pPr>
      <w:r>
        <w:rPr>
          <w:b/>
          <w:color w:val="000000"/>
          <w:sz w:val="27"/>
          <w:szCs w:val="27"/>
          <w:lang w:val="vi-VN"/>
        </w:rPr>
        <w:t>thực hiện</w:t>
      </w:r>
      <w:r w:rsidR="007B0F31">
        <w:rPr>
          <w:b/>
          <w:color w:val="000000"/>
          <w:sz w:val="27"/>
          <w:szCs w:val="27"/>
          <w:lang w:val="vi-VN"/>
        </w:rPr>
        <w:t xml:space="preserve"> Quyết định số 01/2014/QĐ-TTg ngày 01/01/2014</w:t>
      </w:r>
    </w:p>
    <w:p w:rsidR="007B0F31" w:rsidRPr="007B0F31" w:rsidRDefault="007B0F31" w:rsidP="007B0F31">
      <w:pPr>
        <w:spacing w:before="0" w:after="0"/>
        <w:jc w:val="center"/>
        <w:rPr>
          <w:b/>
          <w:color w:val="000000"/>
          <w:sz w:val="27"/>
          <w:szCs w:val="27"/>
          <w:lang w:val="vi-VN"/>
        </w:rPr>
      </w:pPr>
      <w:r>
        <w:rPr>
          <w:b/>
          <w:color w:val="000000"/>
          <w:sz w:val="27"/>
          <w:szCs w:val="27"/>
          <w:lang w:val="vi-VN"/>
        </w:rPr>
        <w:t>của Thủ tướng Chính phủ về chế độ bồi dưỡng giám định tư pháp</w:t>
      </w:r>
    </w:p>
    <w:p w:rsidR="00DB29CA" w:rsidRPr="00D4243B" w:rsidRDefault="005D6A83" w:rsidP="00D4243B">
      <w:pPr>
        <w:widowControl w:val="0"/>
        <w:spacing w:line="360" w:lineRule="exact"/>
        <w:ind w:firstLine="709"/>
        <w:jc w:val="both"/>
        <w:rPr>
          <w:szCs w:val="26"/>
          <w:lang w:val="vi-VN"/>
        </w:rPr>
      </w:pPr>
      <w:r>
        <w:rPr>
          <w:color w:val="000000"/>
          <w:szCs w:val="28"/>
          <w:lang w:val="vi-VN"/>
        </w:rPr>
        <w:t>Ngày</w:t>
      </w:r>
      <w:r w:rsidRPr="005D6A83">
        <w:rPr>
          <w:color w:val="000000"/>
          <w:szCs w:val="28"/>
          <w:lang w:val="vi-VN"/>
        </w:rPr>
        <w:t xml:space="preserve"> </w:t>
      </w:r>
      <w:r w:rsidR="002922D1">
        <w:rPr>
          <w:color w:val="000000"/>
          <w:szCs w:val="28"/>
          <w:lang w:val="vi-VN"/>
        </w:rPr>
        <w:t>01/01/2014, Thủ tướng Chính phủ ban hành Quyết định số 01/2014/QĐ-TTg về chế độ bồi dưỡng giám định tư pháp có hiệu lực thi hành từ ngày 15/3/2014 thay thế Quyết định số 74/2009/QĐ-TTg ngày 07/05/2009 về chế độ bồi dưỡng giám đị</w:t>
      </w:r>
      <w:r w:rsidR="00267F03">
        <w:rPr>
          <w:color w:val="000000"/>
          <w:szCs w:val="28"/>
          <w:lang w:val="vi-VN"/>
        </w:rPr>
        <w:t xml:space="preserve">nh tư pháp, </w:t>
      </w:r>
      <w:r w:rsidR="00D4243B">
        <w:rPr>
          <w:szCs w:val="26"/>
          <w:lang w:val="vi-VN"/>
        </w:rPr>
        <w:t>thể hiện sự quan tâm, động viên, khích lệ của Nhà nước đối với người làm công tác giám định tư pháp, thu hút các chuyên gia giỏi tham gia vào hoạt động giám định tư pháp nhằm nâng cao chất lượng hoạt động giám định tư pháp.</w:t>
      </w:r>
    </w:p>
    <w:p w:rsidR="005D6A83" w:rsidRPr="005D6A83" w:rsidRDefault="00DB29CA" w:rsidP="005D6A83">
      <w:pPr>
        <w:widowControl w:val="0"/>
        <w:spacing w:line="360" w:lineRule="exact"/>
        <w:ind w:firstLine="720"/>
        <w:jc w:val="both"/>
        <w:rPr>
          <w:color w:val="000000"/>
          <w:szCs w:val="28"/>
          <w:lang w:val="vi-VN"/>
        </w:rPr>
      </w:pPr>
      <w:r>
        <w:rPr>
          <w:color w:val="000000"/>
          <w:szCs w:val="28"/>
          <w:lang w:val="vi-VN"/>
        </w:rPr>
        <w:t xml:space="preserve">Ngày 28/02/2018, Thủ tướng Chính phủ ban hành Quyết định số 250/QĐ-TTg phê duyệt Đề án tiếp tục đổi mới và nâng cao hiệu quả hoạt động giám định tư pháp. Tại điểm c mục 3 phần IV Đề án giao Bộ Tư pháp chủ trì nghiên cứu trình Thủ tướng Chính phủ sửa đổi, bổ sung Quyết định số 01/2014/QĐ-TTg về chế độ bồi dưỡng giám định tư pháp. Triển khai nhiệm vụ được giao, Bộ Tư pháp đã chủ trì, phối </w:t>
      </w:r>
      <w:r w:rsidR="00244F48">
        <w:rPr>
          <w:color w:val="000000"/>
          <w:szCs w:val="28"/>
          <w:lang w:val="vi-VN"/>
        </w:rPr>
        <w:t xml:space="preserve">hợp </w:t>
      </w:r>
      <w:r>
        <w:rPr>
          <w:color w:val="000000"/>
          <w:szCs w:val="28"/>
          <w:lang w:val="vi-VN"/>
        </w:rPr>
        <w:t xml:space="preserve">với các Bộ, ngành và địa phương tiến hành tổng kết đánh giá tình hình thực hiện Quyết định số 01/2014/QĐ-TTg </w:t>
      </w:r>
      <w:r w:rsidR="005D6A83" w:rsidRPr="005D6A83">
        <w:rPr>
          <w:color w:val="000000"/>
          <w:szCs w:val="28"/>
          <w:lang w:val="vi-VN"/>
        </w:rPr>
        <w:t>và nghiên cứu, xây dựng dự thảo Quyết định sửa đổi, bổ sung Quyết định số</w:t>
      </w:r>
      <w:r w:rsidR="005D6A83">
        <w:rPr>
          <w:color w:val="000000"/>
          <w:szCs w:val="28"/>
          <w:lang w:val="vi-VN"/>
        </w:rPr>
        <w:t xml:space="preserve"> 01/2014/QĐ-TTg.</w:t>
      </w:r>
      <w:r w:rsidR="005D6A83" w:rsidRPr="005D6A83">
        <w:rPr>
          <w:color w:val="000000"/>
          <w:szCs w:val="28"/>
          <w:lang w:val="vi-VN"/>
        </w:rPr>
        <w:t xml:space="preserve"> </w:t>
      </w:r>
      <w:r w:rsidR="005D6A83">
        <w:rPr>
          <w:bCs/>
          <w:szCs w:val="28"/>
          <w:lang w:val="nl-NL"/>
        </w:rPr>
        <w:t>Tuy nhiên, trong quá trình góp ý dự thảo Quyết định, Bộ Nội vụ có văn bản đề nghị chưa thực hiện sửa đổi, bổ sung Quyết định số 01/2014/QĐ-TTg</w:t>
      </w:r>
      <w:r w:rsidR="005D6A83">
        <w:rPr>
          <w:rStyle w:val="FootnoteReference"/>
          <w:bCs/>
          <w:szCs w:val="28"/>
          <w:lang w:val="nl-NL"/>
        </w:rPr>
        <w:footnoteReference w:id="1"/>
      </w:r>
      <w:r w:rsidR="005D6A83">
        <w:rPr>
          <w:bCs/>
          <w:szCs w:val="28"/>
          <w:lang w:val="nl-NL"/>
        </w:rPr>
        <w:t>; Bộ Tài chính đề nghị cần đánh giá sự cần thiết duy trì chế độ bồi dưỡng giám định tư pháp và căn cứ tính chất đặc thù của công tác giám định tư pháp báo cáo Thủ tướng Chính phủ để rà soát, sửa đổi, bổ sung Quyết định số 01/2014/QĐ-TTg để đảm bảo phù hợp với Nghị quyết số 27-NQ/TW và ý kiến chỉ đạo của Thủ tướng Chính phủ tại Công văn số 8476/VPCP-KTTH ngày 06/9/2018</w:t>
      </w:r>
      <w:r w:rsidR="005D6A83">
        <w:rPr>
          <w:rStyle w:val="FootnoteReference"/>
          <w:bCs/>
          <w:szCs w:val="28"/>
          <w:lang w:val="nl-NL"/>
        </w:rPr>
        <w:footnoteReference w:id="2"/>
      </w:r>
      <w:r w:rsidR="005D6A83">
        <w:rPr>
          <w:bCs/>
          <w:szCs w:val="28"/>
          <w:lang w:val="nl-NL"/>
        </w:rPr>
        <w:t>.</w:t>
      </w:r>
      <w:r w:rsidR="005D6A83" w:rsidRPr="005D6A83">
        <w:rPr>
          <w:color w:val="000000"/>
          <w:szCs w:val="28"/>
          <w:lang w:val="vi-VN"/>
        </w:rPr>
        <w:t xml:space="preserve"> </w:t>
      </w:r>
      <w:r w:rsidR="005D6A83">
        <w:rPr>
          <w:bCs/>
          <w:szCs w:val="28"/>
          <w:lang w:val="nl-NL"/>
        </w:rPr>
        <w:t xml:space="preserve">Do đó, Bộ Tư pháp đã có Báo cáo số 30/BC-BTP ngày 03/2/2020 gửi Thủ tướng Chính phủ, trong đó đề xuất việc trình hồ sơ dự thảo Quyết định số 01/2014/QĐ-TTg sau khi Luật Giám định tư pháp được Quốc hội thông qua tại kỳ họp thứ 9. </w:t>
      </w:r>
      <w:r w:rsidR="005D6A83" w:rsidRPr="005D6A83">
        <w:rPr>
          <w:szCs w:val="28"/>
          <w:lang w:val="nl-NL"/>
        </w:rPr>
        <w:t xml:space="preserve">Ngày 24/9/2020, Thủ tướng Chính phủ đã ban hành Quyết định số 1450/QĐ-TTg về Kế hoạch triển khai thi hành Luật sửa đổi, bổ sung một số điều của Luật Giám </w:t>
      </w:r>
      <w:r w:rsidR="005D6A83" w:rsidRPr="005D6A83">
        <w:rPr>
          <w:szCs w:val="28"/>
          <w:lang w:val="nl-NL"/>
        </w:rPr>
        <w:lastRenderedPageBreak/>
        <w:t xml:space="preserve">định tư pháp, trong đó </w:t>
      </w:r>
      <w:r w:rsidR="005D6A83" w:rsidRPr="00BA6A84">
        <w:rPr>
          <w:szCs w:val="28"/>
          <w:lang w:val="nl-NL"/>
        </w:rPr>
        <w:t xml:space="preserve">tại điểm n mục 3 phần II Kế hoạch </w:t>
      </w:r>
      <w:r w:rsidR="005D6A83" w:rsidRPr="005D6A83">
        <w:rPr>
          <w:szCs w:val="28"/>
          <w:lang w:val="nl-NL"/>
        </w:rPr>
        <w:t xml:space="preserve">giao Bộ Tư pháp chủ trì, phối hợp với Bộ Nội vụ, Bộ Tài chính và cơ quan có liên quan: </w:t>
      </w:r>
      <w:r w:rsidR="005D6A83" w:rsidRPr="005D6A83">
        <w:rPr>
          <w:i/>
          <w:szCs w:val="28"/>
          <w:lang w:val="nl-NL"/>
        </w:rPr>
        <w:t>“Nghiên cứu, rà soát về giải pháp thực hiện chế độ chính sách thu hút, động viên đối với đội ngũ người làm giám định tư pháp phù hợp với tình hình cải cách tiền lương (sau khi có Đề án cải cách tiền lương)”</w:t>
      </w:r>
      <w:r w:rsidR="005D6A83" w:rsidRPr="00BA6A84">
        <w:rPr>
          <w:szCs w:val="28"/>
          <w:lang w:val="nl-NL"/>
        </w:rPr>
        <w:t>.</w:t>
      </w:r>
    </w:p>
    <w:p w:rsidR="005D6A83" w:rsidRDefault="005D6A83" w:rsidP="005D6A83">
      <w:pPr>
        <w:spacing w:line="360" w:lineRule="exact"/>
        <w:ind w:firstLine="720"/>
        <w:jc w:val="both"/>
        <w:rPr>
          <w:spacing w:val="-2"/>
          <w:szCs w:val="28"/>
          <w:lang w:val="nl-NL"/>
        </w:rPr>
      </w:pPr>
      <w:r>
        <w:rPr>
          <w:bCs/>
          <w:szCs w:val="28"/>
          <w:lang w:val="nl-NL"/>
        </w:rPr>
        <w:t>N</w:t>
      </w:r>
      <w:r w:rsidRPr="005D6A83">
        <w:rPr>
          <w:bCs/>
          <w:szCs w:val="28"/>
          <w:lang w:val="vi-VN"/>
        </w:rPr>
        <w:t>gày 04/5/2023</w:t>
      </w:r>
      <w:r w:rsidRPr="0009519A">
        <w:rPr>
          <w:bCs/>
          <w:szCs w:val="28"/>
          <w:lang w:val="nl-NL"/>
        </w:rPr>
        <w:t xml:space="preserve">, </w:t>
      </w:r>
      <w:r w:rsidRPr="005D6A83">
        <w:rPr>
          <w:bCs/>
          <w:szCs w:val="28"/>
          <w:lang w:val="vi-VN"/>
        </w:rPr>
        <w:t>Ban Nội chính Trung ương có Công văn số 4056-CV/B</w:t>
      </w:r>
      <w:r w:rsidRPr="00064CD3">
        <w:rPr>
          <w:bCs/>
          <w:szCs w:val="28"/>
          <w:lang w:val="nl-NL"/>
        </w:rPr>
        <w:t>N</w:t>
      </w:r>
      <w:r w:rsidRPr="005D6A83">
        <w:rPr>
          <w:bCs/>
          <w:szCs w:val="28"/>
          <w:lang w:val="vi-VN"/>
        </w:rPr>
        <w:t>CTW</w:t>
      </w:r>
      <w:r w:rsidRPr="00064CD3">
        <w:rPr>
          <w:bCs/>
          <w:szCs w:val="28"/>
          <w:lang w:val="nl-NL"/>
        </w:rPr>
        <w:t xml:space="preserve"> </w:t>
      </w:r>
      <w:r w:rsidRPr="005D6A83">
        <w:rPr>
          <w:bCs/>
          <w:szCs w:val="28"/>
          <w:lang w:val="vi-VN"/>
        </w:rPr>
        <w:t>về việc thực hiện Thông báo kết luận của Ban Chỉ đạo Trung ương về phòng, chống tham nhũng, tiêu cực tại Phiên họp thứ 23</w:t>
      </w:r>
      <w:r>
        <w:rPr>
          <w:bCs/>
          <w:szCs w:val="28"/>
          <w:lang w:val="nl-NL"/>
        </w:rPr>
        <w:t xml:space="preserve"> và ngày </w:t>
      </w:r>
      <w:r w:rsidRPr="0009519A">
        <w:rPr>
          <w:bCs/>
          <w:szCs w:val="28"/>
          <w:lang w:val="nl-NL"/>
        </w:rPr>
        <w:t xml:space="preserve">18/8/2023, </w:t>
      </w:r>
      <w:r w:rsidRPr="00064CD3">
        <w:rPr>
          <w:spacing w:val="-2"/>
          <w:szCs w:val="28"/>
          <w:lang w:val="nl-NL"/>
        </w:rPr>
        <w:t>Thủ tướng Chính phủ ban hành</w:t>
      </w:r>
      <w:r w:rsidRPr="005D6A83">
        <w:rPr>
          <w:spacing w:val="-2"/>
          <w:szCs w:val="28"/>
          <w:lang w:val="vi-VN"/>
        </w:rPr>
        <w:t xml:space="preserve"> Quyết định số 68/QĐ-TTg</w:t>
      </w:r>
      <w:r w:rsidRPr="0009519A">
        <w:rPr>
          <w:spacing w:val="-2"/>
          <w:szCs w:val="28"/>
          <w:lang w:val="nl-NL"/>
        </w:rPr>
        <w:t xml:space="preserve"> về </w:t>
      </w:r>
      <w:r w:rsidRPr="00064CD3">
        <w:rPr>
          <w:spacing w:val="-2"/>
          <w:szCs w:val="28"/>
          <w:lang w:val="nl-NL"/>
        </w:rPr>
        <w:t>K</w:t>
      </w:r>
      <w:r w:rsidRPr="005D6A83">
        <w:rPr>
          <w:spacing w:val="-2"/>
          <w:szCs w:val="28"/>
          <w:lang w:val="vi-VN"/>
        </w:rPr>
        <w:t>ế hoạch thực hiện kết luận kiểm tra của Ban Chỉ đạo Trung ương về phòng, chống tham nhũng, tiêu cực</w:t>
      </w:r>
      <w:r w:rsidRPr="0009519A">
        <w:rPr>
          <w:spacing w:val="-2"/>
          <w:szCs w:val="28"/>
          <w:lang w:val="nl-NL"/>
        </w:rPr>
        <w:t>,</w:t>
      </w:r>
      <w:r w:rsidRPr="00064CD3">
        <w:rPr>
          <w:spacing w:val="-2"/>
          <w:szCs w:val="28"/>
          <w:lang w:val="nl-NL"/>
        </w:rPr>
        <w:t xml:space="preserve"> chỉ đạo</w:t>
      </w:r>
      <w:r>
        <w:rPr>
          <w:spacing w:val="-2"/>
          <w:szCs w:val="28"/>
          <w:lang w:val="nl-NL"/>
        </w:rPr>
        <w:t xml:space="preserve">, giao </w:t>
      </w:r>
      <w:r w:rsidRPr="00064CD3">
        <w:rPr>
          <w:spacing w:val="-2"/>
          <w:szCs w:val="28"/>
          <w:lang w:val="nl-NL"/>
        </w:rPr>
        <w:t>Bộ Tư pháp nghiên cứu, tham mưu</w:t>
      </w:r>
      <w:r>
        <w:rPr>
          <w:spacing w:val="-2"/>
          <w:szCs w:val="28"/>
          <w:lang w:val="nl-NL"/>
        </w:rPr>
        <w:t>,</w:t>
      </w:r>
      <w:r w:rsidRPr="00064CD3">
        <w:rPr>
          <w:spacing w:val="-2"/>
          <w:szCs w:val="28"/>
          <w:lang w:val="nl-NL"/>
        </w:rPr>
        <w:t xml:space="preserve"> đề xuất Thủ tướng Chính phủ</w:t>
      </w:r>
      <w:r>
        <w:rPr>
          <w:spacing w:val="-2"/>
          <w:szCs w:val="28"/>
          <w:lang w:val="nl-NL"/>
        </w:rPr>
        <w:t xml:space="preserve"> sửa đổi, bổ sung</w:t>
      </w:r>
      <w:r w:rsidRPr="005D6A83">
        <w:rPr>
          <w:i/>
          <w:spacing w:val="-2"/>
          <w:szCs w:val="28"/>
          <w:lang w:val="vi-VN"/>
        </w:rPr>
        <w:t xml:space="preserve"> </w:t>
      </w:r>
      <w:r w:rsidRPr="005D6A83">
        <w:rPr>
          <w:spacing w:val="-2"/>
          <w:szCs w:val="28"/>
          <w:lang w:val="vi-VN"/>
        </w:rPr>
        <w:t>Quyết định số 01/2014/QĐ-TTg ngày 01/01/2014 về chế độ bồi dưỡng giám định tư pháp</w:t>
      </w:r>
      <w:r>
        <w:rPr>
          <w:spacing w:val="-2"/>
          <w:szCs w:val="28"/>
          <w:lang w:val="nl-NL"/>
        </w:rPr>
        <w:t>.</w:t>
      </w:r>
    </w:p>
    <w:p w:rsidR="005D6A83" w:rsidRPr="005D6A83" w:rsidRDefault="005D6A83" w:rsidP="005D6A83">
      <w:pPr>
        <w:widowControl w:val="0"/>
        <w:spacing w:line="360" w:lineRule="exact"/>
        <w:ind w:firstLine="720"/>
        <w:jc w:val="both"/>
        <w:rPr>
          <w:color w:val="000000"/>
          <w:szCs w:val="28"/>
          <w:lang w:val="nl-NL"/>
        </w:rPr>
      </w:pPr>
      <w:r w:rsidRPr="00E878B3">
        <w:rPr>
          <w:bCs/>
          <w:szCs w:val="28"/>
          <w:lang w:val="nl-NL"/>
        </w:rPr>
        <w:t xml:space="preserve">Thực hiện chỉ đạo của </w:t>
      </w:r>
      <w:r w:rsidRPr="005D6A83">
        <w:rPr>
          <w:spacing w:val="-2"/>
          <w:szCs w:val="28"/>
          <w:lang w:val="nl-NL"/>
        </w:rPr>
        <w:t>Ban Chỉ đạo Trung ương về phòng, chống tham nhũng, tiêu cực</w:t>
      </w:r>
      <w:r w:rsidRPr="00E878B3">
        <w:rPr>
          <w:bCs/>
          <w:szCs w:val="28"/>
          <w:lang w:val="nl-NL"/>
        </w:rPr>
        <w:t xml:space="preserve"> và nhiệm vụ được Thủ tướng Chính phủ giao</w:t>
      </w:r>
      <w:r w:rsidRPr="005D6A83">
        <w:rPr>
          <w:spacing w:val="-2"/>
          <w:szCs w:val="28"/>
          <w:lang w:val="nl-NL"/>
        </w:rPr>
        <w:t xml:space="preserve">, Ban </w:t>
      </w:r>
      <w:r w:rsidRPr="0009519A">
        <w:rPr>
          <w:spacing w:val="-2"/>
          <w:szCs w:val="28"/>
          <w:lang w:val="nl-NL"/>
        </w:rPr>
        <w:t>C</w:t>
      </w:r>
      <w:r w:rsidRPr="005D6A83">
        <w:rPr>
          <w:spacing w:val="-2"/>
          <w:szCs w:val="28"/>
          <w:lang w:val="nl-NL"/>
        </w:rPr>
        <w:t>án sự đảng Bộ Tư pháp ban hành Kế hoạch số 123-KH/BCSĐ ngày 11/9/2023</w:t>
      </w:r>
      <w:r w:rsidRPr="00E878B3">
        <w:rPr>
          <w:spacing w:val="-2"/>
          <w:szCs w:val="28"/>
          <w:lang w:val="nl-NL"/>
        </w:rPr>
        <w:t xml:space="preserve"> </w:t>
      </w:r>
      <w:r w:rsidRPr="005D6A83">
        <w:rPr>
          <w:spacing w:val="-2"/>
          <w:szCs w:val="28"/>
          <w:lang w:val="nl-NL"/>
        </w:rPr>
        <w:t>và Bộ Tư pháp đã ban hành Công văn số 448/BTP-TTR-m ngày 13/9/2023</w:t>
      </w:r>
      <w:r w:rsidRPr="00E878B3">
        <w:rPr>
          <w:spacing w:val="-2"/>
          <w:szCs w:val="28"/>
          <w:lang w:val="nl-NL"/>
        </w:rPr>
        <w:t xml:space="preserve">, </w:t>
      </w:r>
      <w:r w:rsidRPr="005D6A83">
        <w:rPr>
          <w:spacing w:val="-2"/>
          <w:szCs w:val="28"/>
          <w:lang w:val="nl-NL"/>
        </w:rPr>
        <w:t xml:space="preserve">trong đó </w:t>
      </w:r>
      <w:r w:rsidRPr="00E878B3">
        <w:rPr>
          <w:spacing w:val="-2"/>
          <w:szCs w:val="28"/>
          <w:lang w:val="nl-NL"/>
        </w:rPr>
        <w:t xml:space="preserve">có nhiệm vụ về </w:t>
      </w:r>
      <w:r w:rsidRPr="005D6A83">
        <w:rPr>
          <w:spacing w:val="-2"/>
          <w:szCs w:val="28"/>
          <w:lang w:val="nl-NL"/>
        </w:rPr>
        <w:t>sửa đổi, bổ sung Quyết định số 01/2014/QĐ-TTg</w:t>
      </w:r>
      <w:r>
        <w:rPr>
          <w:spacing w:val="-2"/>
          <w:szCs w:val="28"/>
          <w:lang w:val="nl-NL"/>
        </w:rPr>
        <w:t xml:space="preserve">. </w:t>
      </w:r>
      <w:r w:rsidRPr="0009519A">
        <w:rPr>
          <w:spacing w:val="-2"/>
          <w:szCs w:val="28"/>
          <w:lang w:val="nl-NL"/>
        </w:rPr>
        <w:t>Bộ Tư pháp đã ban hành Công văn số 5669/BTP-BTTP ngày 21/11/2023 đề nghị các bộ, cơ quan ngang bộ, cơ quan thuộc Chính phủ, cơ quan, tổ chức có liên quan rà soát, đề xuất nội dung sửa đổi chế độ bồi dưỡng giám định tư pháp theo Quyết định số 01/2014/QĐ-TTg.</w:t>
      </w:r>
    </w:p>
    <w:p w:rsidR="005D6A83" w:rsidRDefault="00DB29CA" w:rsidP="005D6A83">
      <w:pPr>
        <w:widowControl w:val="0"/>
        <w:spacing w:line="360" w:lineRule="exact"/>
        <w:ind w:firstLine="720"/>
        <w:jc w:val="both"/>
        <w:rPr>
          <w:color w:val="000000"/>
          <w:szCs w:val="28"/>
          <w:lang w:val="vi-VN"/>
        </w:rPr>
      </w:pPr>
      <w:r>
        <w:rPr>
          <w:color w:val="000000"/>
          <w:szCs w:val="28"/>
          <w:lang w:val="vi-VN"/>
        </w:rPr>
        <w:t xml:space="preserve">Từ thực tiễn công tác quản lý nhà nước về giám định tư pháp </w:t>
      </w:r>
      <w:r w:rsidR="005D6A83" w:rsidRPr="005D6A83">
        <w:rPr>
          <w:color w:val="000000"/>
          <w:szCs w:val="28"/>
          <w:lang w:val="nl-NL"/>
        </w:rPr>
        <w:t xml:space="preserve">và </w:t>
      </w:r>
      <w:r>
        <w:rPr>
          <w:color w:val="000000"/>
          <w:szCs w:val="28"/>
          <w:lang w:val="vi-VN"/>
        </w:rPr>
        <w:t>trên cơ sở</w:t>
      </w:r>
      <w:r w:rsidR="005D6A83">
        <w:rPr>
          <w:color w:val="000000"/>
          <w:szCs w:val="28"/>
          <w:lang w:val="vi-VN"/>
        </w:rPr>
        <w:t xml:space="preserve"> </w:t>
      </w:r>
      <w:r w:rsidR="005D6A83" w:rsidRPr="005D6A83">
        <w:rPr>
          <w:color w:val="000000"/>
          <w:szCs w:val="28"/>
          <w:lang w:val="nl-NL"/>
        </w:rPr>
        <w:t>các b</w:t>
      </w:r>
      <w:r>
        <w:rPr>
          <w:color w:val="000000"/>
          <w:szCs w:val="28"/>
          <w:lang w:val="vi-VN"/>
        </w:rPr>
        <w:t>áo cáo tổng kế</w:t>
      </w:r>
      <w:r w:rsidR="005D6A83">
        <w:rPr>
          <w:color w:val="000000"/>
          <w:szCs w:val="28"/>
          <w:lang w:val="vi-VN"/>
        </w:rPr>
        <w:t>t</w:t>
      </w:r>
      <w:r w:rsidR="005D6A83" w:rsidRPr="005D6A83">
        <w:rPr>
          <w:color w:val="000000"/>
          <w:szCs w:val="28"/>
          <w:lang w:val="nl-NL"/>
        </w:rPr>
        <w:t>, văn bản rà soát, đề xuất của Bộ, ngành, địa phương, tổ chức có liên quan</w:t>
      </w:r>
      <w:r w:rsidR="003143D0">
        <w:rPr>
          <w:rStyle w:val="FootnoteReference"/>
          <w:color w:val="000000"/>
          <w:szCs w:val="28"/>
          <w:lang w:val="nl-NL"/>
        </w:rPr>
        <w:footnoteReference w:id="3"/>
      </w:r>
      <w:r w:rsidR="005D6A83" w:rsidRPr="005D6A83">
        <w:rPr>
          <w:color w:val="000000"/>
          <w:szCs w:val="28"/>
          <w:lang w:val="nl-NL"/>
        </w:rPr>
        <w:t xml:space="preserve">, </w:t>
      </w:r>
      <w:r w:rsidR="005D6A83">
        <w:rPr>
          <w:color w:val="000000"/>
          <w:szCs w:val="28"/>
          <w:lang w:val="vi-VN"/>
        </w:rPr>
        <w:t>Bộ Tư pháp tổng kết, đánh giá tình hình thực hiện Quyết định số 01/2014/QĐ-TTg ngày 01/01/2014 với các nội dung cơ bản như sau:</w:t>
      </w:r>
    </w:p>
    <w:p w:rsidR="00190AAB" w:rsidRPr="00EF69E0" w:rsidRDefault="00D4243B" w:rsidP="007148DB">
      <w:pPr>
        <w:widowControl w:val="0"/>
        <w:spacing w:line="360" w:lineRule="exact"/>
        <w:ind w:firstLine="709"/>
        <w:jc w:val="both"/>
        <w:rPr>
          <w:b/>
          <w:color w:val="000000"/>
          <w:szCs w:val="28"/>
          <w:lang w:val="vi-VN"/>
        </w:rPr>
      </w:pPr>
      <w:r>
        <w:rPr>
          <w:b/>
          <w:color w:val="000000"/>
          <w:szCs w:val="28"/>
          <w:lang w:val="vi-VN"/>
        </w:rPr>
        <w:t>I</w:t>
      </w:r>
      <w:r w:rsidR="00190AAB" w:rsidRPr="00EF69E0">
        <w:rPr>
          <w:b/>
          <w:color w:val="000000"/>
          <w:szCs w:val="28"/>
          <w:lang w:val="nl-NL"/>
        </w:rPr>
        <w:t xml:space="preserve">. </w:t>
      </w:r>
      <w:r w:rsidR="002A3163" w:rsidRPr="00EF69E0">
        <w:rPr>
          <w:b/>
          <w:color w:val="000000"/>
          <w:szCs w:val="28"/>
          <w:lang w:val="vi-VN"/>
        </w:rPr>
        <w:t xml:space="preserve">Tình hình triển khai, </w:t>
      </w:r>
      <w:r w:rsidR="00244F48">
        <w:rPr>
          <w:b/>
          <w:color w:val="000000"/>
          <w:szCs w:val="28"/>
          <w:lang w:val="vi-VN"/>
        </w:rPr>
        <w:t>thực hiện</w:t>
      </w:r>
      <w:r w:rsidR="002A3163" w:rsidRPr="00EF69E0">
        <w:rPr>
          <w:b/>
          <w:color w:val="000000"/>
          <w:szCs w:val="28"/>
          <w:lang w:val="vi-VN"/>
        </w:rPr>
        <w:t xml:space="preserve"> Quyết định</w:t>
      </w:r>
      <w:r w:rsidR="00244F48">
        <w:rPr>
          <w:b/>
          <w:color w:val="000000"/>
          <w:szCs w:val="28"/>
          <w:lang w:val="vi-VN"/>
        </w:rPr>
        <w:t xml:space="preserve"> số 01/2014/QĐ-TTg</w:t>
      </w:r>
    </w:p>
    <w:p w:rsidR="00190AAB" w:rsidRDefault="00190AAB" w:rsidP="007148DB">
      <w:pPr>
        <w:widowControl w:val="0"/>
        <w:spacing w:line="360" w:lineRule="exact"/>
        <w:ind w:firstLine="709"/>
        <w:jc w:val="both"/>
        <w:rPr>
          <w:b/>
          <w:szCs w:val="26"/>
          <w:lang w:val="vi-VN"/>
        </w:rPr>
      </w:pPr>
      <w:r w:rsidRPr="00737117">
        <w:rPr>
          <w:b/>
          <w:szCs w:val="26"/>
          <w:lang w:val="nl-NL"/>
        </w:rPr>
        <w:t>1</w:t>
      </w:r>
      <w:r w:rsidR="002A3163">
        <w:rPr>
          <w:b/>
          <w:szCs w:val="26"/>
          <w:lang w:val="vi-VN"/>
        </w:rPr>
        <w:t>.1</w:t>
      </w:r>
      <w:r w:rsidRPr="00737117">
        <w:rPr>
          <w:b/>
          <w:szCs w:val="26"/>
          <w:lang w:val="nl-NL"/>
        </w:rPr>
        <w:t>. Kết quả đạt được</w:t>
      </w:r>
    </w:p>
    <w:p w:rsidR="00D4243B" w:rsidRPr="00C107F1" w:rsidRDefault="00D4243B" w:rsidP="00AC01EB">
      <w:pPr>
        <w:widowControl w:val="0"/>
        <w:spacing w:line="360" w:lineRule="exact"/>
        <w:ind w:firstLine="709"/>
        <w:jc w:val="both"/>
        <w:rPr>
          <w:i/>
          <w:szCs w:val="26"/>
          <w:lang w:val="vi-VN"/>
        </w:rPr>
      </w:pPr>
      <w:r w:rsidRPr="00C107F1">
        <w:rPr>
          <w:i/>
          <w:szCs w:val="26"/>
          <w:lang w:val="vi-VN"/>
        </w:rPr>
        <w:t>a) Việc ban hành văn bản hướng dẫ</w:t>
      </w:r>
      <w:r w:rsidR="00AC01EB" w:rsidRPr="00C107F1">
        <w:rPr>
          <w:i/>
          <w:szCs w:val="26"/>
          <w:lang w:val="vi-VN"/>
        </w:rPr>
        <w:t>n</w:t>
      </w:r>
      <w:r w:rsidR="00E169A5">
        <w:rPr>
          <w:i/>
          <w:szCs w:val="26"/>
          <w:lang w:val="vi-VN"/>
        </w:rPr>
        <w:t xml:space="preserve"> và tổ chức triển khai Quyết định số 01/2014/QĐ-TTg </w:t>
      </w:r>
    </w:p>
    <w:p w:rsidR="00E169A5" w:rsidRDefault="00E169A5" w:rsidP="00AC01EB">
      <w:pPr>
        <w:widowControl w:val="0"/>
        <w:spacing w:line="360" w:lineRule="exact"/>
        <w:ind w:firstLine="709"/>
        <w:jc w:val="both"/>
        <w:rPr>
          <w:szCs w:val="26"/>
          <w:lang w:val="vi-VN"/>
        </w:rPr>
      </w:pPr>
      <w:r>
        <w:rPr>
          <w:szCs w:val="26"/>
          <w:lang w:val="vi-VN"/>
        </w:rPr>
        <w:t>T</w:t>
      </w:r>
      <w:r w:rsidR="00AC01EB">
        <w:rPr>
          <w:szCs w:val="26"/>
          <w:lang w:val="vi-VN"/>
        </w:rPr>
        <w:t>rên cơ sở nhiệm vụ đượ</w:t>
      </w:r>
      <w:r>
        <w:rPr>
          <w:szCs w:val="26"/>
          <w:lang w:val="vi-VN"/>
        </w:rPr>
        <w:t>c giao tại</w:t>
      </w:r>
      <w:r w:rsidRPr="00E169A5">
        <w:rPr>
          <w:szCs w:val="26"/>
          <w:lang w:val="vi-VN"/>
        </w:rPr>
        <w:t xml:space="preserve"> </w:t>
      </w:r>
      <w:r>
        <w:rPr>
          <w:szCs w:val="26"/>
          <w:lang w:val="vi-VN"/>
        </w:rPr>
        <w:t xml:space="preserve">Quyết định số 01/2014/QĐ-TTg ngày 01/01/2014 của Thủ tướng Chính phủ về chế độ bồi dưỡng giám định tư pháp, </w:t>
      </w:r>
      <w:r w:rsidR="00AC01EB">
        <w:rPr>
          <w:szCs w:val="26"/>
          <w:lang w:val="vi-VN"/>
        </w:rPr>
        <w:t xml:space="preserve">một số Bộ, ngành đã ban hành văn bản hướng dẫn </w:t>
      </w:r>
      <w:r>
        <w:rPr>
          <w:szCs w:val="26"/>
          <w:lang w:val="vi-VN"/>
        </w:rPr>
        <w:t>như sau:</w:t>
      </w:r>
    </w:p>
    <w:p w:rsidR="00AC01EB" w:rsidRDefault="00C71AF5" w:rsidP="00AC01EB">
      <w:pPr>
        <w:widowControl w:val="0"/>
        <w:spacing w:line="360" w:lineRule="exact"/>
        <w:ind w:firstLine="709"/>
        <w:jc w:val="both"/>
        <w:rPr>
          <w:szCs w:val="26"/>
          <w:lang w:val="vi-VN"/>
        </w:rPr>
      </w:pPr>
      <w:r>
        <w:rPr>
          <w:szCs w:val="26"/>
          <w:lang w:val="vi-VN"/>
        </w:rPr>
        <w:t xml:space="preserve">- </w:t>
      </w:r>
      <w:r w:rsidR="00AC01EB">
        <w:rPr>
          <w:szCs w:val="26"/>
          <w:lang w:val="vi-VN"/>
        </w:rPr>
        <w:t xml:space="preserve">Bộ Tài chính đã ban hành Thông tư số 137/2014/TT-BTC ngày 18/9/2014 hướng dẫn lập dự toán, chấp hành và quyết toán kinh phí chi trả tiền </w:t>
      </w:r>
      <w:r w:rsidR="00AC01EB">
        <w:rPr>
          <w:szCs w:val="26"/>
          <w:lang w:val="vi-VN"/>
        </w:rPr>
        <w:lastRenderedPageBreak/>
        <w:t>bồi dưỡng giám định tư pháp của các cơ quan tiến hành tố tụng theo quy định tại Quyết định số 01/2014/QĐ-TTg ngày 01/01/2014 của Thủ tướng Chính phủ về chế độ bồi dưỡng giám đị</w:t>
      </w:r>
      <w:r>
        <w:rPr>
          <w:szCs w:val="26"/>
          <w:lang w:val="vi-VN"/>
        </w:rPr>
        <w:t xml:space="preserve">nh tư pháp, trong đó, quy định nguồn kinh phí bồi dưỡng giám định tư pháp do cơ quan tiến hành tố tụng chi trả được bố trí trong dự toán ngân sách nhà nước hằng năm giao cho cơ quan tiến hành tố tụng theo quy định của pháp luật. Đồng thời, để tạo thuận lợi cho đối tượng được hưởng chế độ bồi dưỡng giám định tư pháp, Thông tư số 137/2014/TT-BTC đã quy định cụ thể </w:t>
      </w:r>
      <w:r w:rsidRPr="00467DD5">
        <w:rPr>
          <w:color w:val="FF0000"/>
          <w:szCs w:val="26"/>
          <w:lang w:val="vi-VN"/>
        </w:rPr>
        <w:t>thủ tục tạm ứ</w:t>
      </w:r>
      <w:r w:rsidR="00467DD5" w:rsidRPr="00467DD5">
        <w:rPr>
          <w:color w:val="FF0000"/>
          <w:szCs w:val="26"/>
          <w:lang w:val="vi-VN"/>
        </w:rPr>
        <w:t>ng</w:t>
      </w:r>
      <w:r w:rsidRPr="00467DD5">
        <w:rPr>
          <w:color w:val="FF0000"/>
          <w:szCs w:val="26"/>
          <w:lang w:val="vi-VN"/>
        </w:rPr>
        <w:t>, thủ tụ</w:t>
      </w:r>
      <w:r w:rsidR="00467DD5" w:rsidRPr="00467DD5">
        <w:rPr>
          <w:color w:val="FF0000"/>
          <w:szCs w:val="26"/>
          <w:lang w:val="vi-VN"/>
        </w:rPr>
        <w:t xml:space="preserve">c thanh toán </w:t>
      </w:r>
      <w:r w:rsidR="00467DD5">
        <w:rPr>
          <w:szCs w:val="26"/>
          <w:lang w:val="vi-VN"/>
        </w:rPr>
        <w:t xml:space="preserve">tiền </w:t>
      </w:r>
      <w:r>
        <w:rPr>
          <w:szCs w:val="26"/>
          <w:lang w:val="vi-VN"/>
        </w:rPr>
        <w:t xml:space="preserve">bồi dưỡng giám định tư pháp. Theo báo cáo của Bộ Tài chính, cho đến nay, chưa nhận được </w:t>
      </w:r>
      <w:r w:rsidRPr="00467DD5">
        <w:rPr>
          <w:color w:val="FF0000"/>
          <w:szCs w:val="26"/>
          <w:lang w:val="vi-VN"/>
        </w:rPr>
        <w:t>phản án</w:t>
      </w:r>
      <w:r w:rsidR="00467DD5" w:rsidRPr="00467DD5">
        <w:rPr>
          <w:color w:val="FF0000"/>
          <w:szCs w:val="26"/>
          <w:lang w:val="vi-VN"/>
        </w:rPr>
        <w:t>h</w:t>
      </w:r>
      <w:r w:rsidRPr="00467DD5">
        <w:rPr>
          <w:color w:val="FF0000"/>
          <w:szCs w:val="26"/>
          <w:lang w:val="vi-VN"/>
        </w:rPr>
        <w:t xml:space="preserve"> </w:t>
      </w:r>
      <w:r>
        <w:rPr>
          <w:szCs w:val="26"/>
          <w:lang w:val="vi-VN"/>
        </w:rPr>
        <w:t xml:space="preserve">của các cơ quan, đơn vị về khó khăn, vướng mắc do thực hiện Thông tư số 137/2014/TT-BTC. Có thể thấy, Thông tư số 137/2014/TT-BTC đã tạo </w:t>
      </w:r>
      <w:r w:rsidR="00BC1E09">
        <w:rPr>
          <w:szCs w:val="26"/>
          <w:lang w:val="vi-VN"/>
        </w:rPr>
        <w:t xml:space="preserve">cơ sở pháp lý cụ thể </w:t>
      </w:r>
      <w:r>
        <w:rPr>
          <w:szCs w:val="26"/>
          <w:lang w:val="vi-VN"/>
        </w:rPr>
        <w:t>để các cơ quan tiến hành tố tụng có căn cứ thực hiện thống nhất việc lập dự toán, chấp hành và quyết toán kinh phí chi trả tiền bồi dưỡng giám định tư pháp.</w:t>
      </w:r>
    </w:p>
    <w:p w:rsidR="00AC01EB" w:rsidRDefault="00C71AF5" w:rsidP="00AC01EB">
      <w:pPr>
        <w:widowControl w:val="0"/>
        <w:spacing w:line="360" w:lineRule="exact"/>
        <w:ind w:firstLine="709"/>
        <w:jc w:val="both"/>
        <w:rPr>
          <w:szCs w:val="26"/>
          <w:lang w:val="vi-VN"/>
        </w:rPr>
      </w:pPr>
      <w:r>
        <w:rPr>
          <w:szCs w:val="26"/>
          <w:lang w:val="vi-VN"/>
        </w:rPr>
        <w:t>- Bộ Y tế đã ban hành Thông tư số 31/2015/TT-BYT ngày 14/10/2015 quy định việc áp dụng chế độ bồi dưỡng, thời gian và số người thực hiện giám định đối với từng loại việc giám định</w:t>
      </w:r>
      <w:r w:rsidR="0010114C">
        <w:rPr>
          <w:szCs w:val="26"/>
          <w:lang w:val="vi-VN"/>
        </w:rPr>
        <w:t xml:space="preserve"> pháp y, giám định pháp y tâm thần là cơ sở pháp lý để thực hiện chi trả chế độ bồi dưỡng cho giám định viên pháp y, giám định viên pháp y tâm thần, người giúp việc cho giám định viê</w:t>
      </w:r>
      <w:r w:rsidR="00422D78">
        <w:rPr>
          <w:szCs w:val="26"/>
          <w:lang w:val="vi-VN"/>
        </w:rPr>
        <w:t>n và người giám định theo vụ việc được tham gia thực hiện giám định.</w:t>
      </w:r>
    </w:p>
    <w:p w:rsidR="00AC01EB" w:rsidRDefault="0010114C" w:rsidP="00AC01EB">
      <w:pPr>
        <w:widowControl w:val="0"/>
        <w:spacing w:line="360" w:lineRule="exact"/>
        <w:ind w:firstLine="709"/>
        <w:jc w:val="both"/>
        <w:rPr>
          <w:szCs w:val="26"/>
          <w:lang w:val="vi-VN"/>
        </w:rPr>
      </w:pPr>
      <w:r>
        <w:rPr>
          <w:szCs w:val="26"/>
          <w:lang w:val="vi-VN"/>
        </w:rPr>
        <w:t>-</w:t>
      </w:r>
      <w:r w:rsidR="00422D78">
        <w:rPr>
          <w:szCs w:val="26"/>
          <w:lang w:val="vi-VN"/>
        </w:rPr>
        <w:t xml:space="preserve"> Bộ Công an đã ban hành Thông tư số 49/2017/TT-BCA ngày 26/10/2017 quy định chi tiết chế độ bồi dưỡng giám định tư pháp trong lĩnh vực kỹ thuật hình sự; thành phần, số người thực hiện nhiệm vụ khi giám định đối với trường hợp khám nghiệm tử thi, mổ tử thi và khai quật tử</w:t>
      </w:r>
      <w:r w:rsidR="00E61387">
        <w:rPr>
          <w:szCs w:val="26"/>
          <w:lang w:val="vi-VN"/>
        </w:rPr>
        <w:t xml:space="preserve"> thi; </w:t>
      </w:r>
      <w:r w:rsidR="00422D78">
        <w:rPr>
          <w:szCs w:val="26"/>
          <w:lang w:val="vi-VN"/>
        </w:rPr>
        <w:t>Công văn số 1048/BCA-C41</w:t>
      </w:r>
      <w:r w:rsidR="00E61387">
        <w:rPr>
          <w:szCs w:val="26"/>
          <w:lang w:val="vi-VN"/>
        </w:rPr>
        <w:t xml:space="preserve"> ngày 08/4/2014</w:t>
      </w:r>
      <w:r w:rsidR="00422D78">
        <w:rPr>
          <w:szCs w:val="26"/>
          <w:lang w:val="vi-VN"/>
        </w:rPr>
        <w:t xml:space="preserve"> hướng dẫn về việc thực hiện Quyết định số 01/2014/QĐ-TTg về chế độ bồi dưỡng giám đị</w:t>
      </w:r>
      <w:r w:rsidR="00FC7222">
        <w:rPr>
          <w:szCs w:val="26"/>
          <w:lang w:val="vi-VN"/>
        </w:rPr>
        <w:t>nh tư pháp đối với lĩnh vực kỹ thuật hình sự</w:t>
      </w:r>
      <w:r w:rsidR="00E61387">
        <w:rPr>
          <w:szCs w:val="26"/>
          <w:lang w:val="vi-VN"/>
        </w:rPr>
        <w:t>; Công văn số 2263/BCA-V22 ngày 18/7/2012 về việc hướng dẫn thực hiện chế độ bồi dưỡng giám định tư pháp trong lĩnh vực pháp y trong Công an nhân dân. Đến ngày 03/9/2019, Bộ Công an đã ban hành Công văn số 2534/BCA-H01 về việc hướng dẫn thực hiện chế độ bồi dưỡng giám định tư pháp trong lĩnh vực pháp y trong Công an nhân dân thay thế cho Công văn số 2263/BCA-V22 và Công văn số 1048/BCA-C42 nêu trên.</w:t>
      </w:r>
    </w:p>
    <w:p w:rsidR="00E169A5" w:rsidRDefault="00E169A5" w:rsidP="00E169A5">
      <w:pPr>
        <w:widowControl w:val="0"/>
        <w:spacing w:line="360" w:lineRule="exact"/>
        <w:ind w:firstLine="709"/>
        <w:jc w:val="both"/>
        <w:rPr>
          <w:szCs w:val="26"/>
          <w:lang w:val="vi-VN"/>
        </w:rPr>
      </w:pPr>
      <w:r>
        <w:rPr>
          <w:szCs w:val="26"/>
          <w:lang w:val="vi-VN"/>
        </w:rPr>
        <w:t>Bên cạnh đó, ngay sau khi</w:t>
      </w:r>
      <w:r w:rsidRPr="00E169A5">
        <w:rPr>
          <w:szCs w:val="26"/>
          <w:lang w:val="vi-VN"/>
        </w:rPr>
        <w:t xml:space="preserve"> </w:t>
      </w:r>
      <w:r>
        <w:rPr>
          <w:szCs w:val="26"/>
          <w:lang w:val="vi-VN"/>
        </w:rPr>
        <w:t xml:space="preserve">Quyết định số </w:t>
      </w:r>
      <w:bookmarkStart w:id="0" w:name="_GoBack"/>
      <w:bookmarkEnd w:id="0"/>
      <w:r>
        <w:rPr>
          <w:szCs w:val="26"/>
          <w:lang w:val="vi-VN"/>
        </w:rPr>
        <w:t>01/2014/QĐ-TTg được ban hành</w:t>
      </w:r>
      <w:r w:rsidR="009F7D89">
        <w:rPr>
          <w:szCs w:val="26"/>
          <w:lang w:val="vi-VN"/>
        </w:rPr>
        <w:t>,</w:t>
      </w:r>
      <w:r>
        <w:rPr>
          <w:szCs w:val="26"/>
          <w:lang w:val="vi-VN"/>
        </w:rPr>
        <w:t xml:space="preserve"> các Bộ, ngành, địa phương đã quan tâm, tổ chức phổ biến, tuyên truyền, quán triệt </w:t>
      </w:r>
      <w:r w:rsidR="009F7D89">
        <w:rPr>
          <w:szCs w:val="26"/>
          <w:lang w:val="vi-VN"/>
        </w:rPr>
        <w:t>nội dung</w:t>
      </w:r>
      <w:r>
        <w:rPr>
          <w:szCs w:val="26"/>
          <w:lang w:val="vi-VN"/>
        </w:rPr>
        <w:t xml:space="preserve"> Quyết định cho đội ngũ cán bộ quản lý, người tiến hành tố tụng, người giám định tư pháp và các cá nhân, tổ chức có liên quan; xây dựng</w:t>
      </w:r>
      <w:r w:rsidRPr="00C107F1">
        <w:rPr>
          <w:szCs w:val="26"/>
          <w:lang w:val="vi-VN"/>
        </w:rPr>
        <w:t xml:space="preserve"> </w:t>
      </w:r>
      <w:r>
        <w:rPr>
          <w:szCs w:val="26"/>
          <w:lang w:val="vi-VN"/>
        </w:rPr>
        <w:t>Kế hoạch triển khai thực hiện để bảo đảm việc sử dụng kinh phí chi trả chế độ bồi dưỡng giám định tư pháp được thực hiện theo đúng quy đị</w:t>
      </w:r>
      <w:r w:rsidR="009F7D89">
        <w:rPr>
          <w:szCs w:val="26"/>
          <w:lang w:val="vi-VN"/>
        </w:rPr>
        <w:t xml:space="preserve">nh </w:t>
      </w:r>
      <w:r>
        <w:rPr>
          <w:szCs w:val="26"/>
          <w:lang w:val="vi-VN"/>
        </w:rPr>
        <w:t xml:space="preserve">như: Ủy ban nhân dân tỉnh Vĩnh Phúc đã ban hành Kế hoạch số 2352/KH-UBND ngày </w:t>
      </w:r>
      <w:r>
        <w:rPr>
          <w:szCs w:val="26"/>
          <w:lang w:val="vi-VN"/>
        </w:rPr>
        <w:lastRenderedPageBreak/>
        <w:t>12/5/2014 triển khai thực hiện Quyết định</w:t>
      </w:r>
      <w:r w:rsidRPr="00E93EFB">
        <w:rPr>
          <w:szCs w:val="26"/>
          <w:lang w:val="vi-VN"/>
        </w:rPr>
        <w:t xml:space="preserve"> </w:t>
      </w:r>
      <w:r>
        <w:rPr>
          <w:szCs w:val="26"/>
          <w:lang w:val="vi-VN"/>
        </w:rPr>
        <w:t>số 01/2014/QĐ-TTg trên địa bàn tỉnh; Ủy ban nhân dân tỉnh Tiền Giang có Công văn số 59/UBND-NC chỉ đạo Sở Tư pháp, Sở Y tế, Sở Tài chính, Công an tỉnh và các ngành có liên quan tổ chức triển khai thực hiện Quyết định; Công an thành phố Hà Nội có công văn số 38/HD-CAHN-PC44-PV22 hướng dẫn thực hiện chế độ bồi dưỡng giám định tư pháp; Ủy ban nhân dân tỉnh Điện Biên đã có Công văn số 68/UBND-NC ngày 07/01/2014 và Công văn số 306/UBND-NC ngày 24/01/2014 chỉ đạo tổ chức tuyên truyền, phổ biến, quán triệt nội dung của Quyết định số 01/2014/QĐ-TTg... Nhìn chung, các Bộ, ngành, địa phương, cơ quan, tổ chức đã quan tâm đến việc tổ chức triển khai Quyết định số 01/2014/QĐ-TTg về chế độ bồi dưỡng giám định tư pháp.</w:t>
      </w:r>
    </w:p>
    <w:p w:rsidR="00AC01EB" w:rsidRPr="00C107F1" w:rsidRDefault="00C107F1" w:rsidP="00AC01EB">
      <w:pPr>
        <w:widowControl w:val="0"/>
        <w:spacing w:line="360" w:lineRule="exact"/>
        <w:ind w:firstLine="709"/>
        <w:jc w:val="both"/>
        <w:rPr>
          <w:i/>
          <w:szCs w:val="26"/>
          <w:lang w:val="vi-VN"/>
        </w:rPr>
      </w:pPr>
      <w:r w:rsidRPr="00C107F1">
        <w:rPr>
          <w:i/>
          <w:szCs w:val="26"/>
          <w:lang w:val="vi-VN"/>
        </w:rPr>
        <w:t xml:space="preserve">b) </w:t>
      </w:r>
      <w:r w:rsidR="00E169A5">
        <w:rPr>
          <w:i/>
          <w:szCs w:val="26"/>
          <w:lang w:val="vi-VN"/>
        </w:rPr>
        <w:t xml:space="preserve">Việc tổ chức </w:t>
      </w:r>
      <w:r w:rsidRPr="00C107F1">
        <w:rPr>
          <w:i/>
          <w:szCs w:val="26"/>
          <w:lang w:val="vi-VN"/>
        </w:rPr>
        <w:t xml:space="preserve">thực hiện </w:t>
      </w:r>
      <w:r w:rsidR="00E169A5">
        <w:rPr>
          <w:i/>
          <w:szCs w:val="26"/>
          <w:lang w:val="vi-VN"/>
        </w:rPr>
        <w:t xml:space="preserve">Quyết định số 01/2014/QĐ-TTg </w:t>
      </w:r>
      <w:r w:rsidRPr="00C107F1">
        <w:rPr>
          <w:i/>
          <w:szCs w:val="26"/>
          <w:lang w:val="vi-VN"/>
        </w:rPr>
        <w:t>của các Bộ, ngành và địa phương</w:t>
      </w:r>
    </w:p>
    <w:p w:rsidR="00160A45" w:rsidRDefault="00160A45" w:rsidP="000D0B89">
      <w:pPr>
        <w:widowControl w:val="0"/>
        <w:spacing w:line="360" w:lineRule="exact"/>
        <w:ind w:firstLine="709"/>
        <w:jc w:val="both"/>
        <w:rPr>
          <w:szCs w:val="26"/>
          <w:lang w:val="vi-VN"/>
        </w:rPr>
      </w:pPr>
      <w:r>
        <w:rPr>
          <w:i/>
          <w:szCs w:val="26"/>
          <w:lang w:val="vi-VN"/>
        </w:rPr>
        <w:t xml:space="preserve">Thứ nhất, </w:t>
      </w:r>
      <w:r w:rsidR="003C10BE">
        <w:rPr>
          <w:szCs w:val="26"/>
          <w:lang w:val="vi-VN"/>
        </w:rPr>
        <w:t>về phía cơ quan trưng cầu giám định:</w:t>
      </w:r>
    </w:p>
    <w:p w:rsidR="00160A45" w:rsidRPr="00F847CF" w:rsidRDefault="00160A45" w:rsidP="009745A6">
      <w:pPr>
        <w:widowControl w:val="0"/>
        <w:spacing w:line="360" w:lineRule="exact"/>
        <w:ind w:firstLine="709"/>
        <w:jc w:val="both"/>
        <w:rPr>
          <w:szCs w:val="26"/>
          <w:lang w:val="vi-VN"/>
        </w:rPr>
      </w:pPr>
      <w:r>
        <w:rPr>
          <w:szCs w:val="26"/>
          <w:lang w:val="vi-VN"/>
        </w:rPr>
        <w:t xml:space="preserve">Trong </w:t>
      </w:r>
      <w:r w:rsidR="009745A6">
        <w:rPr>
          <w:szCs w:val="26"/>
          <w:lang w:val="vi-VN"/>
        </w:rPr>
        <w:t xml:space="preserve">số </w:t>
      </w:r>
      <w:r>
        <w:rPr>
          <w:szCs w:val="26"/>
          <w:lang w:val="vi-VN"/>
        </w:rPr>
        <w:t xml:space="preserve">các cơ quan tiến hành tố tụng, hoạt động trưng cầu giám định được thực hiện chủ yếu bởi cơ quan điều tra trong Công an nhân dân. Vì vậy, để đảm bảo việc thực hiện tạm ứng, thanh toán tiền bồi dưỡng giám định tư pháp được thực hiện đúng quy định, Bộ Công an đã giao Văn phòng Cơ quan Cảnh sát điều tra làm đầu mối dự trù, tiếp nhận, quản lý, cấp phát và theo dõi toàn bộ kinh phí bồi dưỡng giám định tư pháp, kinh phí chi trả giám định cho lực lượng điều tra trong lực lượng Công an nhân dân. </w:t>
      </w:r>
      <w:r w:rsidR="009F7381">
        <w:rPr>
          <w:szCs w:val="26"/>
          <w:lang w:val="vi-VN"/>
        </w:rPr>
        <w:t>Hằng năm, trên cơ sở dự trù của cơ quan điều tra các cấp trong Công an nhân dân, Văn phòng Cơ quan Cảnh sát điều tra lập dự trù các nguồn kinh phí trên, báo cáo lãnh đạo Bộ Công an duyệt, chuyển sang Bộ Tài chính để xin cấp kinh phí, thực hiện tiếp nhận, chi trả tiền bồi dưỡng giám định tư pháp theo đúng quy định của pháp luật. Theo Báo cáo của Bộ Tài chính, kinh phí bồi dưỡng giám định tư pháp được cấp cho Bộ Công an từ năm 2014 đến năm 2018 đều trong mức 300 - 400 tỷ đồng/năm</w:t>
      </w:r>
      <w:r w:rsidR="009F7381">
        <w:rPr>
          <w:rStyle w:val="FootnoteReference"/>
          <w:szCs w:val="26"/>
          <w:lang w:val="vi-VN"/>
        </w:rPr>
        <w:footnoteReference w:id="4"/>
      </w:r>
      <w:r w:rsidR="009F7381">
        <w:rPr>
          <w:szCs w:val="26"/>
          <w:lang w:val="vi-VN"/>
        </w:rPr>
        <w:t xml:space="preserve">. </w:t>
      </w:r>
      <w:r>
        <w:rPr>
          <w:szCs w:val="26"/>
          <w:lang w:val="vi-VN"/>
        </w:rPr>
        <w:t xml:space="preserve">Trên cơ sở kinh phí được cấp, Công an các đơn vị, địa phương có nhiệm vụ chi trả tiền bồi dưỡng giám định tư pháp cho cơ quan giám định. </w:t>
      </w:r>
      <w:r w:rsidR="004E7270" w:rsidRPr="00F847CF">
        <w:rPr>
          <w:szCs w:val="26"/>
          <w:lang w:val="vi-VN"/>
        </w:rPr>
        <w:t>Theo báo cáo của Bộ Công an, từ năm 2020 đến năm 2023, Bộ Công an đã chi trả gần 1.385 tỉ đồng kinh phí giám định tư pháp</w:t>
      </w:r>
      <w:r w:rsidR="004E7270" w:rsidRPr="00F847CF">
        <w:rPr>
          <w:rStyle w:val="FootnoteReference"/>
          <w:szCs w:val="26"/>
          <w:lang w:val="vi-VN"/>
        </w:rPr>
        <w:footnoteReference w:id="5"/>
      </w:r>
      <w:r w:rsidR="004E7270" w:rsidRPr="00F847CF">
        <w:rPr>
          <w:szCs w:val="26"/>
          <w:lang w:val="vi-VN"/>
        </w:rPr>
        <w:t xml:space="preserve">. </w:t>
      </w:r>
      <w:r w:rsidRPr="00F847CF">
        <w:rPr>
          <w:szCs w:val="26"/>
          <w:lang w:val="vi-VN"/>
        </w:rPr>
        <w:t>Về cơ bản</w:t>
      </w:r>
      <w:r w:rsidR="00F87183" w:rsidRPr="00F847CF">
        <w:rPr>
          <w:szCs w:val="26"/>
          <w:lang w:val="vi-VN"/>
        </w:rPr>
        <w:t>, từ khi thực hiện Quyết định số 01/2014/QĐ-TTg, trong ngành Công an nhân dân</w:t>
      </w:r>
      <w:r w:rsidR="009745A6" w:rsidRPr="00F847CF">
        <w:rPr>
          <w:szCs w:val="26"/>
          <w:lang w:val="vi-VN"/>
        </w:rPr>
        <w:t xml:space="preserve"> đã chủ động dự toán, cấp phát bảo đảm kinh phí chi trả </w:t>
      </w:r>
      <w:r w:rsidRPr="00F847CF">
        <w:rPr>
          <w:szCs w:val="26"/>
          <w:lang w:val="vi-VN"/>
        </w:rPr>
        <w:t xml:space="preserve">bồi dưỡng giám định tư pháp. </w:t>
      </w:r>
    </w:p>
    <w:p w:rsidR="00160A45" w:rsidRDefault="00160A45" w:rsidP="00F87183">
      <w:pPr>
        <w:widowControl w:val="0"/>
        <w:spacing w:line="360" w:lineRule="exact"/>
        <w:ind w:firstLine="709"/>
        <w:jc w:val="both"/>
        <w:rPr>
          <w:szCs w:val="26"/>
          <w:lang w:val="vi-VN"/>
        </w:rPr>
      </w:pPr>
      <w:r>
        <w:rPr>
          <w:szCs w:val="26"/>
          <w:lang w:val="vi-VN"/>
        </w:rPr>
        <w:t>Đối với Viện kiểm sát nhân dân tối cao, thực hiện Quyết định</w:t>
      </w:r>
      <w:r w:rsidRPr="00153892">
        <w:rPr>
          <w:szCs w:val="26"/>
          <w:lang w:val="vi-VN"/>
        </w:rPr>
        <w:t xml:space="preserve"> </w:t>
      </w:r>
      <w:r>
        <w:rPr>
          <w:szCs w:val="26"/>
          <w:lang w:val="vi-VN"/>
        </w:rPr>
        <w:t xml:space="preserve">số 01/2014/QĐ-TTg, hằng năm đều lập dự toán và cấp phát kinh phí đủ theo đề </w:t>
      </w:r>
      <w:r>
        <w:rPr>
          <w:szCs w:val="26"/>
          <w:lang w:val="vi-VN"/>
        </w:rPr>
        <w:lastRenderedPageBreak/>
        <w:t>nghị. Trên thực tế, việc thực hiện chi trả chế độ bồi dưỡng giám định tư pháp của ngành Kiểm sát nhân dân rất ít, chủ yếu là do ngành Công an chi trả. Từ năm 2014 đến hết quý I năm 2018, Cơ quan điều tra Viện kiểm sát nhân dân tối cao đã ban hành 142 quyết định trưng cầu giám định với tổng số tiền chi trả phí giám định tư pháp cho các tổ chức, cá nhân thực hiện giám định (bao gồm cả chi phí bồi dưỡng giám định tư pháp) là 916.916.000 đồng. Nhìn chung, việc chi trả chế độ bồi dưỡng giám định tư pháp cho các tổ chức, cá nhân thực hiện giám định cơ bản đúng hạn, không để xảy ra tình trạng nợ đọng.</w:t>
      </w:r>
    </w:p>
    <w:p w:rsidR="00160A45" w:rsidRPr="00F847CF" w:rsidRDefault="00F87183" w:rsidP="005B6D29">
      <w:pPr>
        <w:widowControl w:val="0"/>
        <w:spacing w:line="360" w:lineRule="exact"/>
        <w:ind w:firstLine="709"/>
        <w:jc w:val="both"/>
        <w:rPr>
          <w:szCs w:val="26"/>
          <w:lang w:val="vi-VN"/>
        </w:rPr>
      </w:pPr>
      <w:r w:rsidRPr="00F847CF">
        <w:rPr>
          <w:szCs w:val="26"/>
          <w:lang w:val="vi-VN"/>
        </w:rPr>
        <w:t>Về phía Bộ Tài chính, với vai trò là cơ quan giúp Chính phủ thực hiện chức năng quản lý nhà nước về tài chính - ngân sách, h</w:t>
      </w:r>
      <w:r w:rsidR="00467DD5" w:rsidRPr="00F847CF">
        <w:rPr>
          <w:szCs w:val="26"/>
          <w:lang w:val="vi-VN"/>
        </w:rPr>
        <w:t>ằ</w:t>
      </w:r>
      <w:r w:rsidRPr="00F847CF">
        <w:rPr>
          <w:szCs w:val="26"/>
          <w:lang w:val="vi-VN"/>
        </w:rPr>
        <w:t>ng năm, căn cứ theo quy định pháp luật</w:t>
      </w:r>
      <w:r w:rsidRPr="00F847CF">
        <w:rPr>
          <w:rStyle w:val="FootnoteReference"/>
          <w:szCs w:val="26"/>
          <w:lang w:val="vi-VN"/>
        </w:rPr>
        <w:footnoteReference w:id="6"/>
      </w:r>
      <w:r w:rsidRPr="00F847CF">
        <w:rPr>
          <w:szCs w:val="26"/>
          <w:lang w:val="vi-VN"/>
        </w:rPr>
        <w:t xml:space="preserve"> tiến hành tổng hợp, trình cấp có thẩm quyền bố trí kinh phí thực hiện giám định tư pháp, trong đó có kinh phí </w:t>
      </w:r>
      <w:r w:rsidR="00467DD5" w:rsidRPr="00F847CF">
        <w:rPr>
          <w:szCs w:val="26"/>
          <w:lang w:val="vi-VN"/>
        </w:rPr>
        <w:t>cho chế độ bồi dưỡng</w:t>
      </w:r>
      <w:r w:rsidRPr="00F847CF">
        <w:rPr>
          <w:szCs w:val="26"/>
          <w:lang w:val="vi-VN"/>
        </w:rPr>
        <w:t xml:space="preserve"> giám định tư pháp theo quy định. </w:t>
      </w:r>
      <w:r w:rsidR="00CD4E4D" w:rsidRPr="00F847CF">
        <w:rPr>
          <w:szCs w:val="26"/>
          <w:lang w:val="vi-VN"/>
        </w:rPr>
        <w:t>Riêng Viện kiểm sát nhân dân tối cao và Tòa án nhân dân tối cao không lập dự toán riêng khoản kinh phí giám định tư pháp nên được bố trí chung trong dự toán chi quản lý hành chính của cơ quan</w:t>
      </w:r>
      <w:r w:rsidR="00CD4E4D" w:rsidRPr="00F847CF">
        <w:rPr>
          <w:rStyle w:val="FootnoteReference"/>
          <w:szCs w:val="26"/>
          <w:lang w:val="vi-VN"/>
        </w:rPr>
        <w:footnoteReference w:id="7"/>
      </w:r>
      <w:r w:rsidR="00CD4E4D" w:rsidRPr="00F847CF">
        <w:rPr>
          <w:szCs w:val="26"/>
          <w:lang w:val="vi-VN"/>
        </w:rPr>
        <w:t>.</w:t>
      </w:r>
    </w:p>
    <w:p w:rsidR="000D0B89" w:rsidRDefault="000D0B89" w:rsidP="000D0B89">
      <w:pPr>
        <w:widowControl w:val="0"/>
        <w:spacing w:line="360" w:lineRule="exact"/>
        <w:ind w:firstLine="709"/>
        <w:jc w:val="both"/>
        <w:rPr>
          <w:szCs w:val="26"/>
          <w:lang w:val="vi-VN"/>
        </w:rPr>
      </w:pPr>
      <w:r w:rsidRPr="000D0B89">
        <w:rPr>
          <w:i/>
          <w:szCs w:val="26"/>
          <w:lang w:val="vi-VN"/>
        </w:rPr>
        <w:t>Thứ</w:t>
      </w:r>
      <w:r w:rsidR="00160A45">
        <w:rPr>
          <w:i/>
          <w:szCs w:val="26"/>
          <w:lang w:val="vi-VN"/>
        </w:rPr>
        <w:t xml:space="preserve"> hai</w:t>
      </w:r>
      <w:r>
        <w:rPr>
          <w:szCs w:val="26"/>
          <w:lang w:val="vi-VN"/>
        </w:rPr>
        <w:t>, về phía cơ quan, tổ chức thực hiện giám định:</w:t>
      </w:r>
    </w:p>
    <w:p w:rsidR="004A2A6D" w:rsidRDefault="002722F5" w:rsidP="004A2A6D">
      <w:pPr>
        <w:widowControl w:val="0"/>
        <w:spacing w:line="360" w:lineRule="exact"/>
        <w:ind w:firstLine="709"/>
        <w:jc w:val="both"/>
        <w:rPr>
          <w:szCs w:val="26"/>
          <w:lang w:val="vi-VN"/>
        </w:rPr>
      </w:pPr>
      <w:r>
        <w:rPr>
          <w:szCs w:val="26"/>
          <w:lang w:val="vi-VN"/>
        </w:rPr>
        <w:t>Hiện nay, theo Quyết định số</w:t>
      </w:r>
      <w:r w:rsidR="009745A6">
        <w:rPr>
          <w:szCs w:val="26"/>
          <w:lang w:val="vi-VN"/>
        </w:rPr>
        <w:t xml:space="preserve"> 01/2014/QĐ-TTg, c</w:t>
      </w:r>
      <w:r>
        <w:rPr>
          <w:szCs w:val="26"/>
          <w:lang w:val="vi-VN"/>
        </w:rPr>
        <w:t xml:space="preserve">hế độ bồi dưỡng giám định tư pháp được chia theo vụ việc và theo ngày công. </w:t>
      </w:r>
      <w:r w:rsidR="0074340F">
        <w:rPr>
          <w:szCs w:val="26"/>
          <w:lang w:val="vi-VN"/>
        </w:rPr>
        <w:t>Chế độ bồi dưỡng</w:t>
      </w:r>
      <w:r w:rsidR="004A2A6D">
        <w:rPr>
          <w:szCs w:val="26"/>
          <w:lang w:val="vi-VN"/>
        </w:rPr>
        <w:t xml:space="preserve"> giám định tư pháp theo vụ việc của </w:t>
      </w:r>
      <w:r>
        <w:rPr>
          <w:szCs w:val="26"/>
          <w:lang w:val="vi-VN"/>
        </w:rPr>
        <w:t>giám định trên người sống và trên tử thi trong lĩnh vực pháp y đã thể hiện sự quan tâm, khích lệ của Nhà nước đối với đặc thù của hoạt động giám định này, phần nào</w:t>
      </w:r>
      <w:r w:rsidRPr="002722F5">
        <w:rPr>
          <w:szCs w:val="26"/>
          <w:lang w:val="vi-VN"/>
        </w:rPr>
        <w:t xml:space="preserve"> </w:t>
      </w:r>
      <w:r>
        <w:rPr>
          <w:szCs w:val="26"/>
          <w:lang w:val="vi-VN"/>
        </w:rPr>
        <w:t xml:space="preserve">bù đắp được công sức lao động và sức khỏe cho người làm công tác giám định. </w:t>
      </w:r>
      <w:r w:rsidR="000F5788">
        <w:rPr>
          <w:szCs w:val="26"/>
          <w:lang w:val="vi-VN"/>
        </w:rPr>
        <w:t>Đối với ngành y tế</w:t>
      </w:r>
      <w:r>
        <w:rPr>
          <w:szCs w:val="26"/>
          <w:lang w:val="vi-VN"/>
        </w:rPr>
        <w:t>, việc chi trả chế độ bồi dưỡng tại Viện Pháp y Quốc gia và Trung tâm pháp y các tỉnh, thành phố</w:t>
      </w:r>
      <w:r w:rsidR="000F5788">
        <w:rPr>
          <w:szCs w:val="26"/>
          <w:lang w:val="vi-VN"/>
        </w:rPr>
        <w:t xml:space="preserve"> được thực hiện theo quy định tại </w:t>
      </w:r>
      <w:r>
        <w:rPr>
          <w:szCs w:val="26"/>
          <w:lang w:val="vi-VN"/>
        </w:rPr>
        <w:t>Quyết định số 01/2014/QĐ-TTg và Thông tư số 31/2015/TT-BYT ngày 14/10/2015 của Bộ Y tế.</w:t>
      </w:r>
      <w:r w:rsidRPr="002722F5">
        <w:rPr>
          <w:szCs w:val="26"/>
          <w:lang w:val="vi-VN"/>
        </w:rPr>
        <w:t xml:space="preserve"> </w:t>
      </w:r>
      <w:r w:rsidR="000F5788">
        <w:rPr>
          <w:szCs w:val="26"/>
          <w:lang w:val="vi-VN"/>
        </w:rPr>
        <w:t xml:space="preserve">Theo đó, sau khi kết thúc công việc giám định, các tổ chức giám định pháp y, pháp y tâm thần lập hồ sơ đề nghị thanh toán chế độ bồi dưỡng giám định tư pháp gửi đến cơ quan trưng cầu và được cơ quan trưng cầu thanh toán </w:t>
      </w:r>
      <w:r w:rsidR="0074340F">
        <w:rPr>
          <w:szCs w:val="26"/>
          <w:lang w:val="vi-VN"/>
        </w:rPr>
        <w:t xml:space="preserve">đúng đối tượng, đầy đủ chế độ </w:t>
      </w:r>
      <w:r>
        <w:rPr>
          <w:szCs w:val="26"/>
          <w:lang w:val="vi-VN"/>
        </w:rPr>
        <w:t xml:space="preserve">theo từng vụ việc hoặc từng tháng, quý trong năm, không có tình trạng nợ đọng tiền bồi dưỡng. </w:t>
      </w:r>
    </w:p>
    <w:p w:rsidR="00140516" w:rsidRDefault="005A4DFF" w:rsidP="005A4DFF">
      <w:pPr>
        <w:widowControl w:val="0"/>
        <w:spacing w:line="360" w:lineRule="exact"/>
        <w:ind w:firstLine="709"/>
        <w:jc w:val="both"/>
        <w:rPr>
          <w:szCs w:val="26"/>
          <w:lang w:val="vi-VN"/>
        </w:rPr>
      </w:pPr>
      <w:r>
        <w:rPr>
          <w:szCs w:val="26"/>
          <w:lang w:val="vi-VN"/>
        </w:rPr>
        <w:t xml:space="preserve">Đối với ngành Công an nhân dân, việc chi trả chế độ bồi dưỡng trong lĩnh vực kỹ thuật hình sự được thực hiện theo Quyết định số 01/2014/QĐ-TTg và Thông tư số 49/2017/TT-BCA ngày 26/10/2017 quy định chi tiết chế độ bồi </w:t>
      </w:r>
      <w:r>
        <w:rPr>
          <w:szCs w:val="26"/>
          <w:lang w:val="vi-VN"/>
        </w:rPr>
        <w:lastRenderedPageBreak/>
        <w:t>dưỡng giám định tư pháp trong lĩnh vực kỹ thuật hình sự, thành phần, số người thực hiện nhiệm vụ khi giám định đối với trường hợp khám nghiệm tử thi, mổ tử thi và khai quật tử thi; việc chi trả chế độ bồi dưỡng trong lĩnh vực pháp y cơ bản</w:t>
      </w:r>
      <w:r w:rsidR="009262AE">
        <w:rPr>
          <w:szCs w:val="26"/>
          <w:lang w:val="vi-VN"/>
        </w:rPr>
        <w:t xml:space="preserve"> </w:t>
      </w:r>
      <w:r w:rsidR="002722F5">
        <w:rPr>
          <w:szCs w:val="26"/>
          <w:lang w:val="vi-VN"/>
        </w:rPr>
        <w:t>được thực hiện theo</w:t>
      </w:r>
      <w:r w:rsidRPr="005A4DFF">
        <w:rPr>
          <w:szCs w:val="26"/>
          <w:lang w:val="vi-VN"/>
        </w:rPr>
        <w:t xml:space="preserve"> </w:t>
      </w:r>
      <w:r>
        <w:rPr>
          <w:szCs w:val="26"/>
          <w:lang w:val="vi-VN"/>
        </w:rPr>
        <w:t>Quyết định số 01/2014/QĐ-TTg và Thông tư số 31/2015/TT-BYT</w:t>
      </w:r>
      <w:r w:rsidR="002722F5">
        <w:rPr>
          <w:szCs w:val="26"/>
          <w:lang w:val="vi-VN"/>
        </w:rPr>
        <w:t>, ngoài ra, tại một số địa phương</w:t>
      </w:r>
      <w:r>
        <w:rPr>
          <w:szCs w:val="26"/>
          <w:lang w:val="vi-VN"/>
        </w:rPr>
        <w:t xml:space="preserve"> thì</w:t>
      </w:r>
      <w:r w:rsidR="002722F5">
        <w:rPr>
          <w:szCs w:val="26"/>
          <w:lang w:val="vi-VN"/>
        </w:rPr>
        <w:t xml:space="preserve"> thực hiện theo </w:t>
      </w:r>
      <w:r w:rsidR="009262AE">
        <w:rPr>
          <w:szCs w:val="26"/>
          <w:lang w:val="vi-VN"/>
        </w:rPr>
        <w:t>Công văn số 2263/BCA-V22 của Bộ Công an</w:t>
      </w:r>
      <w:r w:rsidR="002722F5">
        <w:rPr>
          <w:szCs w:val="26"/>
          <w:lang w:val="vi-VN"/>
        </w:rPr>
        <w:t>.</w:t>
      </w:r>
      <w:r w:rsidR="009262AE">
        <w:rPr>
          <w:szCs w:val="26"/>
          <w:lang w:val="vi-VN"/>
        </w:rPr>
        <w:t xml:space="preserve"> T</w:t>
      </w:r>
      <w:r w:rsidR="00571782">
        <w:rPr>
          <w:szCs w:val="26"/>
          <w:lang w:val="vi-VN"/>
        </w:rPr>
        <w:t>heo đó, hằ</w:t>
      </w:r>
      <w:r w:rsidR="00140516">
        <w:rPr>
          <w:szCs w:val="26"/>
          <w:lang w:val="vi-VN"/>
        </w:rPr>
        <w:t xml:space="preserve">ng tháng, Viện Khoa học hình sự và các phòng Kỹ thuật hình sự, Công an tỉnh thống kê và lập hồ sơ các vụ việc đã tiến hành giám định gửi về Văn phòng Cơ quan Cảnh sát điều tra Bộ Công an hoặc Văn phòng Cơ quan Cảnh sát điều tra Công an tỉnh kiểm tra và xác nhận; sau đó gửi về </w:t>
      </w:r>
      <w:r w:rsidR="00D32AE5">
        <w:rPr>
          <w:szCs w:val="26"/>
          <w:lang w:val="vi-VN"/>
        </w:rPr>
        <w:t>Cục Kế hoạch tài chính</w:t>
      </w:r>
      <w:r w:rsidR="00140516">
        <w:rPr>
          <w:szCs w:val="26"/>
          <w:lang w:val="vi-VN"/>
        </w:rPr>
        <w:t xml:space="preserve">, Bộ Công an hoặc Phòng Hậu cần, Công an tỉnh để làm căn cứ thanh toán theo quy định. Như </w:t>
      </w:r>
      <w:r w:rsidR="00621722">
        <w:rPr>
          <w:szCs w:val="26"/>
          <w:lang w:val="vi-VN"/>
        </w:rPr>
        <w:t>vậ</w:t>
      </w:r>
      <w:r w:rsidR="0098136B">
        <w:rPr>
          <w:szCs w:val="26"/>
          <w:lang w:val="vi-VN"/>
        </w:rPr>
        <w:t xml:space="preserve">y, riêng trong ngành </w:t>
      </w:r>
      <w:r w:rsidR="0098136B" w:rsidRPr="004E7270">
        <w:rPr>
          <w:szCs w:val="26"/>
          <w:lang w:val="vi-VN"/>
        </w:rPr>
        <w:t>C</w:t>
      </w:r>
      <w:r w:rsidR="00621722" w:rsidRPr="004E7270">
        <w:rPr>
          <w:szCs w:val="26"/>
          <w:lang w:val="vi-VN"/>
        </w:rPr>
        <w:t xml:space="preserve">ông an nhân dân, </w:t>
      </w:r>
      <w:r w:rsidR="00621722">
        <w:rPr>
          <w:szCs w:val="26"/>
          <w:lang w:val="vi-VN"/>
        </w:rPr>
        <w:t xml:space="preserve">việc chi trả chế độ bồi dưỡng giám định tư pháp được thực hiện thống nhất qua </w:t>
      </w:r>
      <w:r w:rsidR="00664922">
        <w:rPr>
          <w:szCs w:val="26"/>
          <w:lang w:val="vi-VN"/>
        </w:rPr>
        <w:t xml:space="preserve">Cục Kế hoạch tài chính </w:t>
      </w:r>
      <w:r w:rsidR="00621722">
        <w:rPr>
          <w:szCs w:val="26"/>
          <w:lang w:val="vi-VN"/>
        </w:rPr>
        <w:t>hoặc Phòng Hậu cần theo đúng quy định về quản lý tài chính.</w:t>
      </w:r>
    </w:p>
    <w:p w:rsidR="002722F5" w:rsidRDefault="002722F5" w:rsidP="00621722">
      <w:pPr>
        <w:widowControl w:val="0"/>
        <w:spacing w:line="360" w:lineRule="exact"/>
        <w:ind w:firstLine="709"/>
        <w:jc w:val="both"/>
        <w:rPr>
          <w:szCs w:val="26"/>
          <w:lang w:val="vi-VN"/>
        </w:rPr>
      </w:pPr>
      <w:r>
        <w:rPr>
          <w:szCs w:val="26"/>
          <w:lang w:val="vi-VN"/>
        </w:rPr>
        <w:t xml:space="preserve">Đối với các lĩnh vực giám định tư pháp </w:t>
      </w:r>
      <w:r w:rsidR="00621722">
        <w:rPr>
          <w:szCs w:val="26"/>
          <w:lang w:val="vi-VN"/>
        </w:rPr>
        <w:t>không có tổ chức giám định tư pháp công lập như xây dựng, văn hóa...,</w:t>
      </w:r>
      <w:r w:rsidR="005A7480">
        <w:rPr>
          <w:szCs w:val="26"/>
          <w:lang w:val="vi-VN"/>
        </w:rPr>
        <w:t>về cơ bả</w:t>
      </w:r>
      <w:r w:rsidR="00621722">
        <w:rPr>
          <w:szCs w:val="26"/>
          <w:lang w:val="vi-VN"/>
        </w:rPr>
        <w:t>n, c</w:t>
      </w:r>
      <w:r w:rsidR="005A7480">
        <w:rPr>
          <w:szCs w:val="26"/>
          <w:lang w:val="vi-VN"/>
        </w:rPr>
        <w:t xml:space="preserve">ơ quan trưng cầu chi trả </w:t>
      </w:r>
      <w:r>
        <w:rPr>
          <w:szCs w:val="26"/>
          <w:lang w:val="vi-VN"/>
        </w:rPr>
        <w:t>chế độ bồi dưỡng giám định tư pháp</w:t>
      </w:r>
      <w:r w:rsidR="005A7480">
        <w:rPr>
          <w:szCs w:val="26"/>
          <w:lang w:val="vi-VN"/>
        </w:rPr>
        <w:t xml:space="preserve"> đủ ngày công thực tế và đúng mức chế độ</w:t>
      </w:r>
      <w:r>
        <w:rPr>
          <w:szCs w:val="26"/>
          <w:lang w:val="vi-VN"/>
        </w:rPr>
        <w:t xml:space="preserve"> theo quy định tại Quyết định số 01</w:t>
      </w:r>
      <w:r w:rsidR="00127973">
        <w:rPr>
          <w:szCs w:val="26"/>
          <w:lang w:val="vi-VN"/>
        </w:rPr>
        <w:t>/2014/QĐ-TTg.</w:t>
      </w:r>
    </w:p>
    <w:p w:rsidR="00C107F1" w:rsidRPr="00807BB4" w:rsidRDefault="00267F03" w:rsidP="00AC01EB">
      <w:pPr>
        <w:widowControl w:val="0"/>
        <w:spacing w:line="360" w:lineRule="exact"/>
        <w:ind w:firstLine="709"/>
        <w:jc w:val="both"/>
        <w:rPr>
          <w:i/>
          <w:szCs w:val="26"/>
          <w:lang w:val="vi-VN"/>
        </w:rPr>
      </w:pPr>
      <w:r w:rsidRPr="00807BB4">
        <w:rPr>
          <w:i/>
          <w:szCs w:val="26"/>
          <w:lang w:val="vi-VN"/>
        </w:rPr>
        <w:t>c) Đánh giá chung kết quả đạt được</w:t>
      </w:r>
    </w:p>
    <w:p w:rsidR="003C5F24" w:rsidRDefault="00267F03" w:rsidP="00A414E3">
      <w:pPr>
        <w:widowControl w:val="0"/>
        <w:spacing w:line="360" w:lineRule="exact"/>
        <w:ind w:firstLine="709"/>
        <w:jc w:val="both"/>
        <w:rPr>
          <w:szCs w:val="26"/>
          <w:lang w:val="vi-VN"/>
        </w:rPr>
      </w:pPr>
      <w:r>
        <w:rPr>
          <w:szCs w:val="26"/>
          <w:lang w:val="vi-VN"/>
        </w:rPr>
        <w:t xml:space="preserve">Qua </w:t>
      </w:r>
      <w:r w:rsidR="004E7270" w:rsidRPr="004E7270">
        <w:rPr>
          <w:szCs w:val="26"/>
          <w:lang w:val="vi-VN"/>
        </w:rPr>
        <w:t>10</w:t>
      </w:r>
      <w:r>
        <w:rPr>
          <w:szCs w:val="26"/>
          <w:lang w:val="vi-VN"/>
        </w:rPr>
        <w:t xml:space="preserve"> năm thực hiện Quyết định số 01/2014/QĐ-TTg ngày 01/01/2014 của Thủ tướng Chính phủ về chế độ bồi dưỡng giám định tư pháp,</w:t>
      </w:r>
      <w:r w:rsidR="00664922">
        <w:rPr>
          <w:szCs w:val="26"/>
          <w:lang w:val="vi-VN"/>
        </w:rPr>
        <w:t xml:space="preserve"> </w:t>
      </w:r>
      <w:r w:rsidR="00D25399">
        <w:rPr>
          <w:szCs w:val="26"/>
          <w:lang w:val="vi-VN"/>
        </w:rPr>
        <w:t xml:space="preserve">đời sống vật chất, tinh thần của đội ngũ </w:t>
      </w:r>
      <w:r w:rsidR="0098136B" w:rsidRPr="004E7270">
        <w:rPr>
          <w:szCs w:val="26"/>
          <w:lang w:val="vi-VN"/>
        </w:rPr>
        <w:t xml:space="preserve">người làm </w:t>
      </w:r>
      <w:r w:rsidR="00D25399">
        <w:rPr>
          <w:szCs w:val="26"/>
          <w:lang w:val="vi-VN"/>
        </w:rPr>
        <w:t>giám định tư pháp đã được các Bộ, ngành, địa phương quan tâm, chăm lo, chuyển biến nhiều so với trước đây.</w:t>
      </w:r>
      <w:r w:rsidR="006C16E6">
        <w:rPr>
          <w:szCs w:val="26"/>
          <w:lang w:val="vi-VN"/>
        </w:rPr>
        <w:t xml:space="preserve"> </w:t>
      </w:r>
      <w:r>
        <w:rPr>
          <w:szCs w:val="26"/>
          <w:lang w:val="vi-VN"/>
        </w:rPr>
        <w:t>Quyết định số 01/2014/QĐ-TTg đã tăng mức tiền bồi dưỡng giám định tư pháp mà người giám định được hưởng trung bình gấp từ 02 đến 2,5 lần so với quy định tại Quyết định số 74/2009/QĐ-TTg ngày 07/5/2009 của Thủ tướng Chính phủ về chế độ bồi dưỡng giám đị</w:t>
      </w:r>
      <w:r w:rsidR="006C16E6">
        <w:rPr>
          <w:szCs w:val="26"/>
          <w:lang w:val="vi-VN"/>
        </w:rPr>
        <w:t xml:space="preserve">nh tư pháp. </w:t>
      </w:r>
      <w:r w:rsidR="003C5F24">
        <w:rPr>
          <w:szCs w:val="26"/>
          <w:lang w:val="vi-VN"/>
        </w:rPr>
        <w:t>Việc phân bổ, quản lý, sử dụng nguồn kinh phí chi trả bồi dưỡng giám định tư pháp chặt chẽ, đúng quy định, chi trả đúng đối tượng và tương đối đầy đủ, kịp thời; cơ bản đã bù đắp được công sức, tính chất độc hại, phức tạp, khó khăn trong hoạt động giám định tư pháp của người tham gia vào công tác giám định tư pháp theo trưng cầu của cơ quan tiến hành tố tụng.</w:t>
      </w:r>
      <w:r w:rsidR="00A414E3" w:rsidRPr="00A414E3">
        <w:rPr>
          <w:szCs w:val="28"/>
          <w:lang w:val="vi-VN"/>
        </w:rPr>
        <w:t xml:space="preserve"> </w:t>
      </w:r>
      <w:r w:rsidR="00A414E3">
        <w:rPr>
          <w:szCs w:val="28"/>
          <w:lang w:val="vi-VN"/>
        </w:rPr>
        <w:t>T</w:t>
      </w:r>
      <w:r w:rsidR="00A414E3">
        <w:rPr>
          <w:szCs w:val="28"/>
          <w:lang w:val="nl-NL"/>
        </w:rPr>
        <w:t xml:space="preserve">ình trạng nợ đọng tiền bồi dưỡng giám định tư pháp đã được Bộ Tư pháp, Bộ Công an và các cơ quan có liên quan quan tâm giải quyết, có nhiều biến chuyển, cơ bản được khắc phục. </w:t>
      </w:r>
    </w:p>
    <w:p w:rsidR="00267F03" w:rsidRDefault="006C16E6" w:rsidP="003C5F24">
      <w:pPr>
        <w:widowControl w:val="0"/>
        <w:spacing w:line="360" w:lineRule="exact"/>
        <w:ind w:firstLine="709"/>
        <w:jc w:val="both"/>
        <w:rPr>
          <w:szCs w:val="26"/>
          <w:lang w:val="vi-VN"/>
        </w:rPr>
      </w:pPr>
      <w:r>
        <w:rPr>
          <w:szCs w:val="26"/>
          <w:lang w:val="vi-VN"/>
        </w:rPr>
        <w:t xml:space="preserve">Đồng thời, việc tăng mức bồi dưỡng giám định </w:t>
      </w:r>
      <w:r w:rsidR="003C5F24">
        <w:rPr>
          <w:szCs w:val="26"/>
          <w:lang w:val="vi-VN"/>
        </w:rPr>
        <w:t xml:space="preserve">tư pháp </w:t>
      </w:r>
      <w:r>
        <w:rPr>
          <w:szCs w:val="26"/>
          <w:lang w:val="vi-VN"/>
        </w:rPr>
        <w:t xml:space="preserve">đã </w:t>
      </w:r>
      <w:r w:rsidR="003C5F24">
        <w:rPr>
          <w:szCs w:val="26"/>
          <w:lang w:val="vi-VN"/>
        </w:rPr>
        <w:t xml:space="preserve">giúp cho thu nhập của người thực hiện giám định tư pháp được tăng lên đáng kể, nhất là các lĩnh vực giám định có tổ chức giám định tư pháp công lập, phần nào bảo đảm sự tương xứng, hợp lý với tính chất công việc giám định; </w:t>
      </w:r>
      <w:r>
        <w:rPr>
          <w:szCs w:val="26"/>
          <w:lang w:val="vi-VN"/>
        </w:rPr>
        <w:t xml:space="preserve">giảm khoảng cách chênh lệch về thu nhập giữa người làm giám định tư pháp với cán bộ chuyên môn </w:t>
      </w:r>
      <w:r>
        <w:rPr>
          <w:szCs w:val="26"/>
          <w:lang w:val="vi-VN"/>
        </w:rPr>
        <w:lastRenderedPageBreak/>
        <w:t>trong cùng lĩnh vực, ngành nghề, nhấ</w:t>
      </w:r>
      <w:r w:rsidR="003C5F24">
        <w:rPr>
          <w:szCs w:val="26"/>
          <w:lang w:val="vi-VN"/>
        </w:rPr>
        <w:t>t là giữa bác sỹ làm giám định pháp y với bác sỹ làm công tác khám, chữa bệnh tại các bệnh viện, phòng khám. Điều này góp phần “giữ chân” người làm giám định tư pháp, có thêm động lực thực hiện công việc nhiều khó khăn này cũng như thu hút những cá nhân có chuyên môn, các chuyên gia giỏi tham gia vào hoạt động giám định tư pháp.</w:t>
      </w:r>
    </w:p>
    <w:p w:rsidR="00A414E3" w:rsidRDefault="00A414E3" w:rsidP="003C5F24">
      <w:pPr>
        <w:widowControl w:val="0"/>
        <w:spacing w:line="360" w:lineRule="exact"/>
        <w:ind w:firstLine="709"/>
        <w:jc w:val="both"/>
        <w:rPr>
          <w:szCs w:val="26"/>
          <w:lang w:val="vi-VN"/>
        </w:rPr>
      </w:pPr>
      <w:r>
        <w:rPr>
          <w:szCs w:val="26"/>
          <w:lang w:val="vi-VN"/>
        </w:rPr>
        <w:t>Như vậy, việc triển khai, thực hiện chế đội bồi dưỡng giám định tư pháp theo Quyết định số 01/2014/QĐ-TTg đã động việc, khích lệ rất lớn đối với đội ngũ người làm giám định tư pháp, nhất là đội ngũ giám định viên pháp y hiện nay đang rất khó để thu hút nhân lực, qua đó, nâng cao, cải thiện chất lượng giám định, đáp ứng tốt hơn yêu cầu của hoạt động tố tụng trong bối cảnh tội phạm ngày một gia tăng, phức tạp.</w:t>
      </w:r>
    </w:p>
    <w:p w:rsidR="00904812" w:rsidRPr="002A3163" w:rsidRDefault="002A3163" w:rsidP="007148DB">
      <w:pPr>
        <w:widowControl w:val="0"/>
        <w:spacing w:line="360" w:lineRule="exact"/>
        <w:ind w:firstLine="709"/>
        <w:jc w:val="both"/>
        <w:rPr>
          <w:b/>
          <w:szCs w:val="26"/>
          <w:lang w:val="vi-VN"/>
        </w:rPr>
      </w:pPr>
      <w:r w:rsidRPr="002A3163">
        <w:rPr>
          <w:b/>
          <w:szCs w:val="26"/>
          <w:lang w:val="vi-VN"/>
        </w:rPr>
        <w:t xml:space="preserve">1.2. Một số </w:t>
      </w:r>
      <w:r w:rsidR="00420AC9">
        <w:rPr>
          <w:b/>
          <w:szCs w:val="26"/>
          <w:lang w:val="vi-VN"/>
        </w:rPr>
        <w:t xml:space="preserve">tồn tại, </w:t>
      </w:r>
      <w:r w:rsidR="002862BA">
        <w:rPr>
          <w:b/>
          <w:szCs w:val="26"/>
          <w:lang w:val="vi-VN"/>
        </w:rPr>
        <w:t>khó khăn, vướng mắc</w:t>
      </w:r>
    </w:p>
    <w:p w:rsidR="002862BA" w:rsidRPr="002862BA" w:rsidRDefault="002862BA" w:rsidP="007148DB">
      <w:pPr>
        <w:widowControl w:val="0"/>
        <w:spacing w:line="360" w:lineRule="exact"/>
        <w:ind w:firstLine="709"/>
        <w:jc w:val="both"/>
        <w:rPr>
          <w:szCs w:val="28"/>
          <w:lang w:val="vi-VN"/>
        </w:rPr>
      </w:pPr>
      <w:r>
        <w:rPr>
          <w:szCs w:val="28"/>
          <w:lang w:val="vi-VN"/>
        </w:rPr>
        <w:t>Bên cạnh những kết quả đạt được nêu trên, việc triển khai, thực hiện Quyết định số 01/2014/QĐ-TTg vẫn còn tồn tại một số khó khăn, vướng mắc như sau:</w:t>
      </w:r>
    </w:p>
    <w:p w:rsidR="00AA3342" w:rsidRPr="0098136B" w:rsidRDefault="00420AC9" w:rsidP="005F20BA">
      <w:pPr>
        <w:widowControl w:val="0"/>
        <w:spacing w:line="360" w:lineRule="exact"/>
        <w:ind w:firstLine="720"/>
        <w:jc w:val="both"/>
        <w:rPr>
          <w:color w:val="FF0000"/>
          <w:lang w:val="vi-VN"/>
        </w:rPr>
      </w:pPr>
      <w:r>
        <w:rPr>
          <w:i/>
          <w:lang w:val="vi-VN"/>
        </w:rPr>
        <w:t xml:space="preserve">Thứ nhất, </w:t>
      </w:r>
      <w:r w:rsidR="00AA3342">
        <w:rPr>
          <w:lang w:val="vi-VN"/>
        </w:rPr>
        <w:t xml:space="preserve">Quyết định số 01/2014/QĐ-TTg </w:t>
      </w:r>
      <w:r w:rsidR="003A5DBE">
        <w:rPr>
          <w:lang w:val="vi-VN"/>
        </w:rPr>
        <w:t>có hiệu lực thi hành kể</w:t>
      </w:r>
      <w:r w:rsidR="00AA3342">
        <w:rPr>
          <w:lang w:val="vi-VN"/>
        </w:rPr>
        <w:t xml:space="preserve"> </w:t>
      </w:r>
      <w:r w:rsidR="003A5DBE">
        <w:rPr>
          <w:lang w:val="vi-VN"/>
        </w:rPr>
        <w:t>từ</w:t>
      </w:r>
      <w:r>
        <w:rPr>
          <w:lang w:val="vi-VN"/>
        </w:rPr>
        <w:t xml:space="preserve"> ngày 15/3/2014, đ</w:t>
      </w:r>
      <w:r w:rsidR="003A5DBE">
        <w:rPr>
          <w:lang w:val="vi-VN"/>
        </w:rPr>
        <w:t>ế</w:t>
      </w:r>
      <w:r w:rsidR="00AD45BE">
        <w:rPr>
          <w:lang w:val="vi-VN"/>
        </w:rPr>
        <w:t>n nay,</w:t>
      </w:r>
      <w:r w:rsidR="003A5DBE">
        <w:rPr>
          <w:lang w:val="vi-VN"/>
        </w:rPr>
        <w:t xml:space="preserve"> sau </w:t>
      </w:r>
      <w:r w:rsidR="00F74CB9" w:rsidRPr="00F74CB9">
        <w:rPr>
          <w:lang w:val="vi-VN"/>
        </w:rPr>
        <w:t>10 năm</w:t>
      </w:r>
      <w:r w:rsidR="003A5DBE">
        <w:rPr>
          <w:lang w:val="vi-VN"/>
        </w:rPr>
        <w:t xml:space="preserve"> tổ chức thực hiện đã bộc lộ một số bấp cập</w:t>
      </w:r>
      <w:r w:rsidR="0098136B" w:rsidRPr="004E7270">
        <w:rPr>
          <w:lang w:val="vi-VN"/>
        </w:rPr>
        <w:t>, hạn chế, cụ thể:</w:t>
      </w:r>
    </w:p>
    <w:p w:rsidR="004E7270" w:rsidRPr="004E7270" w:rsidRDefault="004E7270" w:rsidP="004E7270">
      <w:pPr>
        <w:pStyle w:val="ListParagraph"/>
        <w:numPr>
          <w:ilvl w:val="0"/>
          <w:numId w:val="1"/>
        </w:numPr>
        <w:spacing w:line="360" w:lineRule="exact"/>
        <w:jc w:val="both"/>
        <w:rPr>
          <w:i/>
          <w:lang w:val="vi-VN"/>
        </w:rPr>
      </w:pPr>
      <w:r w:rsidRPr="004E7270">
        <w:rPr>
          <w:i/>
          <w:lang w:val="vi-VN"/>
        </w:rPr>
        <w:t>Về đối tượng được hưởng chế độ bồi dưỡng giám định tư pháp:</w:t>
      </w:r>
    </w:p>
    <w:p w:rsidR="003A5DBE" w:rsidRPr="00160625" w:rsidRDefault="004E7270" w:rsidP="004E7270">
      <w:pPr>
        <w:spacing w:line="360" w:lineRule="exact"/>
        <w:ind w:firstLine="709"/>
        <w:jc w:val="both"/>
        <w:rPr>
          <w:szCs w:val="28"/>
          <w:lang w:val="vi-VN"/>
        </w:rPr>
      </w:pPr>
      <w:r w:rsidRPr="004E7270">
        <w:rPr>
          <w:szCs w:val="28"/>
          <w:lang w:val="vi-VN"/>
        </w:rPr>
        <w:t xml:space="preserve">- </w:t>
      </w:r>
      <w:r w:rsidR="003A5DBE" w:rsidRPr="004E7270">
        <w:rPr>
          <w:szCs w:val="28"/>
          <w:lang w:val="vi-VN"/>
        </w:rPr>
        <w:t xml:space="preserve">Theo quy định tại khoản 3 Điều 1 Quyết định số 01/2014/QĐ-TTg thì đối tượng được hưởng chế độ bồi dưỡng giám định tư pháp thuộc cơ quan tiến hành tố tụng gồm có điều tra viên, kiểm sát viên, thẩm phán được cơ quan nhà nước có thẩm quyền giao trách nhiệm thực hiện nhiệm vụ khi giám định đối với trường hợp khám nghiệm tử thi, mổ tử thi, khai quật tử thi. </w:t>
      </w:r>
      <w:r w:rsidR="00C25123" w:rsidRPr="004E7270">
        <w:rPr>
          <w:szCs w:val="28"/>
          <w:lang w:val="vi-VN"/>
        </w:rPr>
        <w:t>Tuy nhiên, một số</w:t>
      </w:r>
      <w:r w:rsidR="00335EF9" w:rsidRPr="004E7270">
        <w:rPr>
          <w:szCs w:val="28"/>
          <w:lang w:val="vi-VN"/>
        </w:rPr>
        <w:t xml:space="preserve"> ý kiến cho rằng cần bổ sung chế độ bồi dưỡng giám định tư pháp đối với cán bộ điều tra, kiểm tra viên, thẩm tra viên khi tham gia giám định trong trường hợp khám nghiệm tử thi, mổ tử thi, khai quật tử thi vì theo quy định của Bộ luật tố tụng hình sự đây cũng là người tiến hành tố tụng</w:t>
      </w:r>
      <w:r w:rsidR="00335EF9">
        <w:rPr>
          <w:rStyle w:val="FootnoteReference"/>
          <w:szCs w:val="28"/>
          <w:lang w:val="vi-VN"/>
        </w:rPr>
        <w:footnoteReference w:id="8"/>
      </w:r>
      <w:r>
        <w:rPr>
          <w:szCs w:val="28"/>
          <w:lang w:val="vi-VN"/>
        </w:rPr>
        <w:t>.</w:t>
      </w:r>
    </w:p>
    <w:p w:rsidR="004558D1" w:rsidRPr="00160625" w:rsidRDefault="00A26E1C" w:rsidP="00F74CB9">
      <w:pPr>
        <w:widowControl w:val="0"/>
        <w:spacing w:line="360" w:lineRule="exact"/>
        <w:ind w:firstLine="709"/>
        <w:jc w:val="both"/>
        <w:rPr>
          <w:szCs w:val="28"/>
          <w:lang w:val="vi-VN"/>
        </w:rPr>
      </w:pPr>
      <w:r w:rsidRPr="00160625">
        <w:rPr>
          <w:szCs w:val="28"/>
          <w:lang w:val="vi-VN"/>
        </w:rPr>
        <w:t xml:space="preserve">- </w:t>
      </w:r>
      <w:r w:rsidR="004558D1" w:rsidRPr="00160625">
        <w:rPr>
          <w:szCs w:val="28"/>
          <w:lang w:val="vi-VN"/>
        </w:rPr>
        <w:t xml:space="preserve">Trong một số lĩnh vực giám định phải huy động người giám định tư pháp không hưởng lương từ ngân sách nhà nước tham gia, thực hiện giám định, như: </w:t>
      </w:r>
      <w:r w:rsidR="00F74CB9" w:rsidRPr="00160625">
        <w:rPr>
          <w:i/>
          <w:szCs w:val="28"/>
          <w:lang w:val="vi-VN"/>
        </w:rPr>
        <w:t>(i)</w:t>
      </w:r>
      <w:r w:rsidR="00F74CB9" w:rsidRPr="00160625">
        <w:rPr>
          <w:szCs w:val="28"/>
          <w:lang w:val="vi-VN"/>
        </w:rPr>
        <w:t xml:space="preserve"> </w:t>
      </w:r>
      <w:r w:rsidR="00A32AE7" w:rsidRPr="00160625">
        <w:rPr>
          <w:szCs w:val="28"/>
          <w:lang w:val="vi-VN"/>
        </w:rPr>
        <w:t xml:space="preserve">trong lĩnh vực xây dựng hiện nay đã được xã hội hóa mạnh mẽ, nhiều vụ việc giám định tư pháp xây dựng do tổ chức, cá nhân hành nghề tư vấn hoạt động xây dựng thực hiện; </w:t>
      </w:r>
      <w:r w:rsidR="00F74CB9" w:rsidRPr="00160625">
        <w:rPr>
          <w:i/>
          <w:szCs w:val="28"/>
          <w:lang w:val="vi-VN"/>
        </w:rPr>
        <w:t>(ii)</w:t>
      </w:r>
      <w:r w:rsidR="00F74CB9" w:rsidRPr="00160625">
        <w:rPr>
          <w:szCs w:val="28"/>
          <w:lang w:val="vi-VN"/>
        </w:rPr>
        <w:t xml:space="preserve"> </w:t>
      </w:r>
      <w:r w:rsidR="00A32AE7" w:rsidRPr="00160625">
        <w:rPr>
          <w:szCs w:val="28"/>
          <w:lang w:val="vi-VN"/>
        </w:rPr>
        <w:t xml:space="preserve">trong lĩnh vực giám định pháp y tâm thần, do bị thiếu hụt nhân lực nên phải huy động các giám định viên tư pháp đã nghỉ hưu tham gia vào công tác giám định tư pháp nhưng các đối tượng này do không </w:t>
      </w:r>
      <w:r w:rsidR="00A32AE7" w:rsidRPr="00160625">
        <w:rPr>
          <w:szCs w:val="28"/>
          <w:lang w:val="vi-VN"/>
        </w:rPr>
        <w:lastRenderedPageBreak/>
        <w:t>hưởng lương từ ngân sách nhà nước nên không được hưởng chế độ bồi dưỡng giám đị</w:t>
      </w:r>
      <w:r w:rsidR="00F74CB9" w:rsidRPr="00160625">
        <w:rPr>
          <w:szCs w:val="28"/>
          <w:lang w:val="vi-VN"/>
        </w:rPr>
        <w:t>nh tư pháp.</w:t>
      </w:r>
    </w:p>
    <w:p w:rsidR="004E7270" w:rsidRPr="00A26E1C" w:rsidRDefault="004E7270" w:rsidP="004E7270">
      <w:pPr>
        <w:spacing w:line="360" w:lineRule="exact"/>
        <w:ind w:firstLine="709"/>
        <w:jc w:val="both"/>
        <w:rPr>
          <w:lang w:val="vi-VN"/>
        </w:rPr>
      </w:pPr>
      <w:r w:rsidRPr="004E7270">
        <w:rPr>
          <w:lang w:val="vi-VN"/>
        </w:rPr>
        <w:t>- Trong một số lĩnh vực giám định không có tổ chức giám định tư pháp công lậ</w:t>
      </w:r>
      <w:r w:rsidR="004558D1">
        <w:rPr>
          <w:lang w:val="vi-VN"/>
        </w:rPr>
        <w:t>p</w:t>
      </w:r>
      <w:r w:rsidRPr="004E7270">
        <w:rPr>
          <w:lang w:val="vi-VN"/>
        </w:rPr>
        <w:t xml:space="preserve"> </w:t>
      </w:r>
      <w:r w:rsidR="00A26E1C" w:rsidRPr="00A26E1C">
        <w:rPr>
          <w:lang w:val="vi-VN"/>
        </w:rPr>
        <w:t xml:space="preserve">thì </w:t>
      </w:r>
      <w:r w:rsidRPr="004E7270">
        <w:rPr>
          <w:lang w:val="vi-VN"/>
        </w:rPr>
        <w:t xml:space="preserve">khối lượng vụ việc giám định </w:t>
      </w:r>
      <w:r w:rsidR="00A26E1C" w:rsidRPr="00A26E1C">
        <w:rPr>
          <w:lang w:val="vi-VN"/>
        </w:rPr>
        <w:t xml:space="preserve">ngày càng </w:t>
      </w:r>
      <w:r w:rsidRPr="004E7270">
        <w:rPr>
          <w:lang w:val="vi-VN"/>
        </w:rPr>
        <w:t xml:space="preserve">nhiều, </w:t>
      </w:r>
      <w:r w:rsidR="00A26E1C" w:rsidRPr="00A26E1C">
        <w:rPr>
          <w:lang w:val="vi-VN"/>
        </w:rPr>
        <w:t>bên cạnh người</w:t>
      </w:r>
      <w:r w:rsidRPr="004E7270">
        <w:rPr>
          <w:lang w:val="vi-VN"/>
        </w:rPr>
        <w:t xml:space="preserve"> giám định</w:t>
      </w:r>
      <w:r w:rsidR="00A26E1C" w:rsidRPr="00A26E1C">
        <w:rPr>
          <w:lang w:val="vi-VN"/>
        </w:rPr>
        <w:t xml:space="preserve"> </w:t>
      </w:r>
      <w:r w:rsidRPr="004E7270">
        <w:rPr>
          <w:lang w:val="vi-VN"/>
        </w:rPr>
        <w:t>tư pháp và người giúp việc thì còn có các đầu mối được giao kiêm nhiệm làm công tác tổng hợp, báo cáo, phục vụ các nhiệm vụ về thanh tra, kiểm tra công tác giám định tư pháp định kỳ, đột xuất theo yêu cầu nhưng chưa được hưởng chế độ bồi dưỡng giám đị</w:t>
      </w:r>
      <w:r w:rsidR="00A26E1C">
        <w:rPr>
          <w:lang w:val="vi-VN"/>
        </w:rPr>
        <w:t>nh</w:t>
      </w:r>
      <w:r w:rsidR="00A26E1C" w:rsidRPr="00A26E1C">
        <w:rPr>
          <w:lang w:val="vi-VN"/>
        </w:rPr>
        <w:t xml:space="preserve"> tư pháp.</w:t>
      </w:r>
    </w:p>
    <w:p w:rsidR="00F74CB9" w:rsidRPr="00F74CB9" w:rsidRDefault="00664922" w:rsidP="00664922">
      <w:pPr>
        <w:widowControl w:val="0"/>
        <w:spacing w:line="340" w:lineRule="atLeast"/>
        <w:ind w:firstLine="720"/>
        <w:jc w:val="both"/>
        <w:rPr>
          <w:rFonts w:cs="Times New Roman"/>
          <w:i/>
          <w:szCs w:val="28"/>
          <w:lang w:val="vi-VN"/>
        </w:rPr>
      </w:pPr>
      <w:r w:rsidRPr="00F74CB9">
        <w:rPr>
          <w:i/>
          <w:szCs w:val="28"/>
          <w:lang w:val="vi-VN"/>
        </w:rPr>
        <w:t>(2)</w:t>
      </w:r>
      <w:r w:rsidRPr="00F74CB9">
        <w:rPr>
          <w:rFonts w:cs="Times New Roman"/>
          <w:i/>
          <w:szCs w:val="28"/>
          <w:lang w:val="vi-VN"/>
        </w:rPr>
        <w:t xml:space="preserve"> </w:t>
      </w:r>
      <w:r w:rsidR="00F74CB9" w:rsidRPr="00F74CB9">
        <w:rPr>
          <w:rFonts w:cs="Times New Roman"/>
          <w:i/>
          <w:szCs w:val="28"/>
          <w:lang w:val="vi-VN"/>
        </w:rPr>
        <w:t>Về loại việc giám định được hưởng chế độ bồi dưỡng:</w:t>
      </w:r>
    </w:p>
    <w:p w:rsidR="00664922" w:rsidRPr="00664922" w:rsidRDefault="00664922" w:rsidP="00664922">
      <w:pPr>
        <w:widowControl w:val="0"/>
        <w:spacing w:line="340" w:lineRule="atLeast"/>
        <w:ind w:firstLine="720"/>
        <w:jc w:val="both"/>
        <w:rPr>
          <w:rFonts w:cs="Times New Roman"/>
          <w:szCs w:val="28"/>
          <w:lang w:val="vi-VN"/>
        </w:rPr>
      </w:pPr>
      <w:r>
        <w:rPr>
          <w:rFonts w:cs="Times New Roman"/>
          <w:szCs w:val="28"/>
          <w:lang w:val="vi-VN"/>
        </w:rPr>
        <w:t xml:space="preserve">Một số loại việc giám định phát sinh trên thực tế chưa được Quyết định số 01/2014/QĐ-TTg quy định để người thực hiện giám định trong những loại việc đó được hưởng chế độ bồi dưỡng giám định tư pháp, ví dụ như giám định vật gây thương tích; giám định </w:t>
      </w:r>
      <w:r w:rsidRPr="00664922">
        <w:rPr>
          <w:rFonts w:cs="Times New Roman"/>
          <w:szCs w:val="28"/>
          <w:lang w:val="vi-VN"/>
        </w:rPr>
        <w:t xml:space="preserve">mổ tử thi không được bảo quản theo đúng quy chuẩn hoặc ở trạng thái thối rữa tự nhiên </w:t>
      </w:r>
      <w:r>
        <w:rPr>
          <w:rFonts w:cs="Times New Roman"/>
          <w:szCs w:val="28"/>
          <w:lang w:val="vi-VN"/>
        </w:rPr>
        <w:t xml:space="preserve">mà </w:t>
      </w:r>
      <w:r w:rsidRPr="00664922">
        <w:rPr>
          <w:rFonts w:cs="Times New Roman"/>
          <w:szCs w:val="28"/>
          <w:lang w:val="vi-VN"/>
        </w:rPr>
        <w:t>người chết dưới 7 ngày nhưng vẫn phải khai quậ</w:t>
      </w:r>
      <w:r>
        <w:rPr>
          <w:rFonts w:cs="Times New Roman"/>
          <w:szCs w:val="28"/>
          <w:lang w:val="vi-VN"/>
        </w:rPr>
        <w:t xml:space="preserve">t; hoặc hiện nay, </w:t>
      </w:r>
      <w:r w:rsidRPr="00664922">
        <w:rPr>
          <w:rFonts w:cs="Times New Roman"/>
          <w:szCs w:val="28"/>
          <w:lang w:val="vi-VN"/>
        </w:rPr>
        <w:t>một số lĩnh vực, chuyên ngành phải thực hiện trong điều kiện nguy hiểm đến sức khỏe, tính mạng như giám định nguyên nh</w:t>
      </w:r>
      <w:r>
        <w:rPr>
          <w:rFonts w:cs="Times New Roman"/>
          <w:szCs w:val="28"/>
          <w:lang w:val="vi-VN"/>
        </w:rPr>
        <w:t xml:space="preserve">ân cháy, </w:t>
      </w:r>
      <w:r w:rsidRPr="00664922">
        <w:rPr>
          <w:rFonts w:cs="Times New Roman"/>
          <w:szCs w:val="28"/>
          <w:lang w:val="vi-VN"/>
        </w:rPr>
        <w:t>giám định các công trình, nhà xưở</w:t>
      </w:r>
      <w:r>
        <w:rPr>
          <w:rFonts w:cs="Times New Roman"/>
          <w:szCs w:val="28"/>
          <w:lang w:val="vi-VN"/>
        </w:rPr>
        <w:t>ng...</w:t>
      </w:r>
    </w:p>
    <w:p w:rsidR="00CB4407" w:rsidRPr="00CB4407" w:rsidRDefault="003A5DBE" w:rsidP="0098136B">
      <w:pPr>
        <w:widowControl w:val="0"/>
        <w:spacing w:line="360" w:lineRule="exact"/>
        <w:ind w:firstLine="709"/>
        <w:jc w:val="both"/>
        <w:rPr>
          <w:i/>
          <w:lang w:val="vi-VN"/>
        </w:rPr>
      </w:pPr>
      <w:r w:rsidRPr="00CB4407">
        <w:rPr>
          <w:i/>
          <w:lang w:val="vi-VN"/>
        </w:rPr>
        <w:t>(</w:t>
      </w:r>
      <w:r w:rsidR="00664922" w:rsidRPr="00CB4407">
        <w:rPr>
          <w:i/>
          <w:lang w:val="vi-VN"/>
        </w:rPr>
        <w:t>3</w:t>
      </w:r>
      <w:r w:rsidRPr="00CB4407">
        <w:rPr>
          <w:i/>
          <w:lang w:val="vi-VN"/>
        </w:rPr>
        <w:t>)</w:t>
      </w:r>
      <w:r w:rsidR="00331926" w:rsidRPr="00CB4407">
        <w:rPr>
          <w:i/>
          <w:lang w:val="vi-VN"/>
        </w:rPr>
        <w:t xml:space="preserve"> </w:t>
      </w:r>
      <w:r w:rsidR="00CB4407" w:rsidRPr="00CB4407">
        <w:rPr>
          <w:i/>
          <w:lang w:val="vi-VN"/>
        </w:rPr>
        <w:t>Về mức bồi dưỡng giám định tư pháp:</w:t>
      </w:r>
    </w:p>
    <w:p w:rsidR="00AD45BE" w:rsidRDefault="00331926" w:rsidP="00CB4407">
      <w:pPr>
        <w:widowControl w:val="0"/>
        <w:spacing w:line="360" w:lineRule="exact"/>
        <w:ind w:firstLine="709"/>
        <w:jc w:val="both"/>
        <w:rPr>
          <w:szCs w:val="28"/>
          <w:lang w:val="vi-VN"/>
        </w:rPr>
      </w:pPr>
      <w:r>
        <w:rPr>
          <w:szCs w:val="28"/>
          <w:lang w:val="vi-VN"/>
        </w:rPr>
        <w:t>M</w:t>
      </w:r>
      <w:r w:rsidR="003A5DBE">
        <w:rPr>
          <w:szCs w:val="28"/>
          <w:lang w:val="vi-VN"/>
        </w:rPr>
        <w:t xml:space="preserve">ức bồi dưỡng theo quy định tại Quyết định số 01/2014/QĐ-TTg </w:t>
      </w:r>
      <w:r w:rsidR="009F7DE8">
        <w:rPr>
          <w:szCs w:val="28"/>
          <w:lang w:val="vi-VN"/>
        </w:rPr>
        <w:t xml:space="preserve">đã </w:t>
      </w:r>
      <w:r w:rsidR="009F7DE8" w:rsidRPr="004E5631">
        <w:rPr>
          <w:szCs w:val="28"/>
          <w:lang w:val="vi-VN"/>
        </w:rPr>
        <w:t>trở</w:t>
      </w:r>
      <w:r w:rsidR="004E5631" w:rsidRPr="004E5631">
        <w:rPr>
          <w:szCs w:val="28"/>
          <w:lang w:val="vi-VN"/>
        </w:rPr>
        <w:t xml:space="preserve"> nên</w:t>
      </w:r>
      <w:r w:rsidR="009F7DE8" w:rsidRPr="004E5631">
        <w:rPr>
          <w:szCs w:val="28"/>
          <w:lang w:val="vi-VN"/>
        </w:rPr>
        <w:t xml:space="preserve"> </w:t>
      </w:r>
      <w:r w:rsidR="009F7DE8">
        <w:rPr>
          <w:szCs w:val="28"/>
          <w:lang w:val="vi-VN"/>
        </w:rPr>
        <w:t>bấp cập, không còn phù hợp với</w:t>
      </w:r>
      <w:r>
        <w:rPr>
          <w:szCs w:val="28"/>
          <w:lang w:val="vi-VN"/>
        </w:rPr>
        <w:t xml:space="preserve"> chỉ số giá tiêu dùng và mức </w:t>
      </w:r>
      <w:r w:rsidR="00C25123">
        <w:rPr>
          <w:szCs w:val="28"/>
          <w:lang w:val="vi-VN"/>
        </w:rPr>
        <w:t>lương cơ sở</w:t>
      </w:r>
      <w:r>
        <w:rPr>
          <w:szCs w:val="28"/>
          <w:lang w:val="vi-VN"/>
        </w:rPr>
        <w:t xml:space="preserve"> tăng nhiều lần trong thời gian qua</w:t>
      </w:r>
      <w:r w:rsidR="00C25123">
        <w:rPr>
          <w:szCs w:val="28"/>
          <w:lang w:val="vi-VN"/>
        </w:rPr>
        <w:t>, cụ thể</w:t>
      </w:r>
      <w:r w:rsidR="00F22CD5">
        <w:rPr>
          <w:szCs w:val="28"/>
          <w:lang w:val="vi-VN"/>
        </w:rPr>
        <w:t xml:space="preserve"> </w:t>
      </w:r>
      <w:r w:rsidR="00CB4407" w:rsidRPr="00CB4407">
        <w:rPr>
          <w:szCs w:val="28"/>
          <w:lang w:val="vi-VN"/>
        </w:rPr>
        <w:t>chỉ số giá tiêu dùng cả nước bình quân 2 tháng đầu năm 2024 so với năm 2014 là 129,92%</w:t>
      </w:r>
      <w:r w:rsidR="00CB4407">
        <w:rPr>
          <w:rStyle w:val="FootnoteReference"/>
          <w:szCs w:val="28"/>
          <w:lang w:val="vi-VN"/>
        </w:rPr>
        <w:footnoteReference w:id="9"/>
      </w:r>
      <w:r w:rsidR="00CB4407" w:rsidRPr="00CB4407">
        <w:rPr>
          <w:szCs w:val="28"/>
          <w:lang w:val="vi-VN"/>
        </w:rPr>
        <w:t xml:space="preserve"> và mức lương tối thiểu năm 2023</w:t>
      </w:r>
      <w:r w:rsidR="00CB4407">
        <w:rPr>
          <w:szCs w:val="28"/>
          <w:lang w:val="vi-VN"/>
        </w:rPr>
        <w:t xml:space="preserve"> đã tăng </w:t>
      </w:r>
      <w:r w:rsidR="00CB4407" w:rsidRPr="00CB4407">
        <w:rPr>
          <w:szCs w:val="28"/>
          <w:lang w:val="vi-VN"/>
        </w:rPr>
        <w:t>56,5% so với năm 2014</w:t>
      </w:r>
      <w:r w:rsidR="00CB4407">
        <w:rPr>
          <w:rStyle w:val="FootnoteReference"/>
          <w:szCs w:val="28"/>
          <w:lang w:val="vi-VN"/>
        </w:rPr>
        <w:footnoteReference w:id="10"/>
      </w:r>
      <w:r w:rsidR="00CB4407" w:rsidRPr="00CB4407">
        <w:rPr>
          <w:szCs w:val="28"/>
          <w:lang w:val="vi-VN"/>
        </w:rPr>
        <w:t xml:space="preserve">. </w:t>
      </w:r>
      <w:r w:rsidR="00F55573" w:rsidRPr="007A1B59">
        <w:rPr>
          <w:szCs w:val="28"/>
          <w:lang w:val="vi-VN"/>
        </w:rPr>
        <w:t xml:space="preserve">Đặc biệt, </w:t>
      </w:r>
      <w:r w:rsidR="006B5F30" w:rsidRPr="007A1B59">
        <w:rPr>
          <w:szCs w:val="28"/>
          <w:lang w:val="vi-VN"/>
        </w:rPr>
        <w:t xml:space="preserve">đối với </w:t>
      </w:r>
      <w:r w:rsidR="0098136B" w:rsidRPr="007A1B59">
        <w:rPr>
          <w:szCs w:val="28"/>
          <w:lang w:val="vi-VN"/>
        </w:rPr>
        <w:t xml:space="preserve">một số lĩnh vực như xây dựng, tài chính, ngân hàng, văn hóa... mức bồi dưỡng thông thường chỉ 150.000 đồng/người/ngày, trong khi </w:t>
      </w:r>
      <w:r w:rsidR="006B5F30" w:rsidRPr="007A1B59">
        <w:rPr>
          <w:szCs w:val="28"/>
          <w:lang w:val="vi-VN"/>
        </w:rPr>
        <w:t xml:space="preserve">có </w:t>
      </w:r>
      <w:r w:rsidR="00F55573" w:rsidRPr="007A1B59">
        <w:rPr>
          <w:szCs w:val="28"/>
          <w:lang w:val="vi-VN"/>
        </w:rPr>
        <w:t>những vụ việc giám định phức tạp, đòi hỏi chuyên môn cao</w:t>
      </w:r>
      <w:r w:rsidR="006B5F30" w:rsidRPr="007A1B59">
        <w:rPr>
          <w:szCs w:val="28"/>
          <w:lang w:val="vi-VN"/>
        </w:rPr>
        <w:t xml:space="preserve">, </w:t>
      </w:r>
      <w:r w:rsidR="00F55573" w:rsidRPr="007A1B59">
        <w:rPr>
          <w:szCs w:val="28"/>
          <w:lang w:val="vi-VN"/>
        </w:rPr>
        <w:t>phải chịu trách nhiệm pháp lý lớ</w:t>
      </w:r>
      <w:r w:rsidR="0098136B" w:rsidRPr="007A1B59">
        <w:rPr>
          <w:szCs w:val="28"/>
          <w:lang w:val="vi-VN"/>
        </w:rPr>
        <w:t xml:space="preserve">n cho nên không thu hút, động viên được </w:t>
      </w:r>
      <w:r w:rsidR="00F55573" w:rsidRPr="007A1B59">
        <w:rPr>
          <w:szCs w:val="28"/>
          <w:lang w:val="vi-VN"/>
        </w:rPr>
        <w:t xml:space="preserve">các chuyên gia giỏi tham gia vào hoạt động giám định tư pháp. </w:t>
      </w:r>
      <w:r w:rsidR="004E5631">
        <w:rPr>
          <w:szCs w:val="28"/>
          <w:lang w:val="vi-VN"/>
        </w:rPr>
        <w:t>Ví dụ</w:t>
      </w:r>
      <w:r w:rsidR="00F55573">
        <w:rPr>
          <w:szCs w:val="28"/>
          <w:lang w:val="vi-VN"/>
        </w:rPr>
        <w:t>: T</w:t>
      </w:r>
      <w:r w:rsidR="004E5631">
        <w:rPr>
          <w:szCs w:val="28"/>
          <w:lang w:val="vi-VN"/>
        </w:rPr>
        <w:t>rong lĩnh vực xây dựng, mặc dù, Thông tư số 04/2014/TT-BXD ngày 22/4/2014 của Bộ Xây dựng hướng dẫn một số nội dung về giám định tư pháp trong hoạt động đầu tư xây dựng quy định cá nhân khi thực hiện giám định</w:t>
      </w:r>
      <w:r w:rsidR="00885CB1">
        <w:rPr>
          <w:szCs w:val="28"/>
          <w:lang w:val="vi-VN"/>
        </w:rPr>
        <w:t xml:space="preserve"> tư pháp được hưởng chế độ bồi dưỡng theo quy định của pháp luật, tuy nhiên, trên thực tế thường không áp dụng việc thực hiện chế độ bồi dưỡng theo Quyết định số 01/2014/QĐ-TTg do mức bồi dưỡng thấp, không tương xứng với khối lượng công việc thực hiện</w:t>
      </w:r>
      <w:r w:rsidR="00885CB1">
        <w:rPr>
          <w:rStyle w:val="FootnoteReference"/>
          <w:szCs w:val="28"/>
          <w:lang w:val="vi-VN"/>
        </w:rPr>
        <w:footnoteReference w:id="11"/>
      </w:r>
      <w:r w:rsidR="00885CB1">
        <w:rPr>
          <w:szCs w:val="28"/>
          <w:lang w:val="vi-VN"/>
        </w:rPr>
        <w:t xml:space="preserve">. </w:t>
      </w:r>
    </w:p>
    <w:p w:rsidR="00B726DE" w:rsidRPr="007A1B59" w:rsidRDefault="00B726DE" w:rsidP="00B726DE">
      <w:pPr>
        <w:widowControl w:val="0"/>
        <w:spacing w:line="360" w:lineRule="exact"/>
        <w:ind w:firstLine="709"/>
        <w:jc w:val="both"/>
        <w:rPr>
          <w:lang w:val="vi-VN"/>
        </w:rPr>
      </w:pPr>
      <w:r>
        <w:rPr>
          <w:szCs w:val="28"/>
          <w:lang w:val="vi-VN"/>
        </w:rPr>
        <w:t xml:space="preserve">Có thể thấy, </w:t>
      </w:r>
      <w:r>
        <w:rPr>
          <w:lang w:val="vi-VN"/>
        </w:rPr>
        <w:t xml:space="preserve">mức bồi dưỡng giám định tư pháp theo quy định tại Quyết </w:t>
      </w:r>
      <w:r>
        <w:rPr>
          <w:lang w:val="vi-VN"/>
        </w:rPr>
        <w:lastRenderedPageBreak/>
        <w:t xml:space="preserve">định số 01/2014/QĐ-TTg sau </w:t>
      </w:r>
      <w:r w:rsidR="007A1B59" w:rsidRPr="007A1B59">
        <w:rPr>
          <w:lang w:val="vi-VN"/>
        </w:rPr>
        <w:t>10</w:t>
      </w:r>
      <w:r>
        <w:rPr>
          <w:lang w:val="vi-VN"/>
        </w:rPr>
        <w:t xml:space="preserve"> năm áp dụ</w:t>
      </w:r>
      <w:r w:rsidR="00AF43DD">
        <w:rPr>
          <w:lang w:val="vi-VN"/>
        </w:rPr>
        <w:t>ng đã thể hiện</w:t>
      </w:r>
      <w:r>
        <w:rPr>
          <w:lang w:val="vi-VN"/>
        </w:rPr>
        <w:t xml:space="preserve"> sự bất cập so với sự biến động về giá cả thị trường, sự phát triển kinh tế - xã hộ</w:t>
      </w:r>
      <w:r w:rsidR="007A1B59">
        <w:rPr>
          <w:lang w:val="vi-VN"/>
        </w:rPr>
        <w:t>i</w:t>
      </w:r>
      <w:r w:rsidR="007A1B59" w:rsidRPr="007A1B59">
        <w:rPr>
          <w:lang w:val="vi-VN"/>
        </w:rPr>
        <w:t xml:space="preserve"> và mức lương cơ bản theo từng giai đoạn.</w:t>
      </w:r>
    </w:p>
    <w:p w:rsidR="007A1B59" w:rsidRPr="007A1B59" w:rsidRDefault="007A1B59" w:rsidP="00B726DE">
      <w:pPr>
        <w:widowControl w:val="0"/>
        <w:spacing w:line="360" w:lineRule="exact"/>
        <w:ind w:firstLine="709"/>
        <w:jc w:val="both"/>
        <w:rPr>
          <w:i/>
          <w:lang w:val="vi-VN"/>
        </w:rPr>
      </w:pPr>
      <w:r w:rsidRPr="007A1B59">
        <w:rPr>
          <w:i/>
          <w:lang w:val="vi-VN"/>
        </w:rPr>
        <w:t>(4) Về hình thức bồi dưỡng giám định tư pháp:</w:t>
      </w:r>
    </w:p>
    <w:p w:rsidR="007A1B59" w:rsidRPr="00160625" w:rsidRDefault="007A1B59" w:rsidP="00B726DE">
      <w:pPr>
        <w:widowControl w:val="0"/>
        <w:spacing w:line="360" w:lineRule="exact"/>
        <w:ind w:firstLine="709"/>
        <w:jc w:val="both"/>
        <w:rPr>
          <w:lang w:val="vi-VN"/>
        </w:rPr>
      </w:pPr>
      <w:r w:rsidRPr="00160625">
        <w:rPr>
          <w:lang w:val="vi-VN"/>
        </w:rPr>
        <w:t>- Việc quy định chế độ bồi dưỡng giám định tư pháp theo ngày công đối với một số lĩnh vực chưa phù hợp, nhất là các lĩnh vực do tổ chức giám định tư pháp theo vụ việc thực hiện, phần nào dẫn đến việc thực hiện, kết luận giám định bị kéo dài thời gian.</w:t>
      </w:r>
    </w:p>
    <w:p w:rsidR="007A1B59" w:rsidRPr="00160625" w:rsidRDefault="007A1B59" w:rsidP="007A1B59">
      <w:pPr>
        <w:widowControl w:val="0"/>
        <w:spacing w:line="360" w:lineRule="exact"/>
        <w:ind w:firstLine="709"/>
        <w:jc w:val="both"/>
        <w:rPr>
          <w:lang w:val="vi-VN"/>
        </w:rPr>
      </w:pPr>
      <w:r w:rsidRPr="00160625">
        <w:rPr>
          <w:lang w:val="vi-VN"/>
        </w:rPr>
        <w:t>- Việc quy định thanh toán chế độ bồi dưỡng giám định không quá 300 giờ/ năm chưa bảo đảm việc bồi dưỡng đủ cho việc thực hiện giám định tư pháp đối với các vụ việc phức tạp. Trong lĩnh vực pháp y, Bộ Y tế ban hành Thông tư số 31/2015/TT-BYT quy định thời gian và số người thực hiện giám định đối với từng loại việc là 03 giờ/ngày/giám định viên/trường hợp; tương đương với 01 giám định viên không được khám giám định quá 03 vụ việc/ngày nhưng thực tế thì giám định viên phải giám định nhiều hơn mà không được thanh toán đủ và phải tính toán số giờ, ngày công cho phù hợp nên phức tạp, phát sinh thêm các bảng kê, giấy tờ nên khó khăn cho việc thanh toán.</w:t>
      </w:r>
    </w:p>
    <w:p w:rsidR="00A62224" w:rsidRPr="00160625" w:rsidRDefault="007A1B59" w:rsidP="00A62224">
      <w:pPr>
        <w:widowControl w:val="0"/>
        <w:spacing w:line="360" w:lineRule="exact"/>
        <w:ind w:firstLine="709"/>
        <w:jc w:val="both"/>
        <w:rPr>
          <w:i/>
          <w:lang w:val="vi-VN"/>
        </w:rPr>
      </w:pPr>
      <w:r w:rsidRPr="00160625">
        <w:rPr>
          <w:i/>
          <w:lang w:val="vi-VN"/>
        </w:rPr>
        <w:t>(5) Về</w:t>
      </w:r>
      <w:r w:rsidR="00A62224" w:rsidRPr="00160625">
        <w:rPr>
          <w:i/>
          <w:lang w:val="vi-VN"/>
        </w:rPr>
        <w:t xml:space="preserve"> trình tự, thủ tục dự toán, cấp phát, chi trả chế độ bồi dưỡng giám định tư pháp:</w:t>
      </w:r>
    </w:p>
    <w:p w:rsidR="00A62224" w:rsidRPr="00160625" w:rsidRDefault="00A62224" w:rsidP="00A62224">
      <w:pPr>
        <w:widowControl w:val="0"/>
        <w:spacing w:line="360" w:lineRule="exact"/>
        <w:ind w:firstLine="709"/>
        <w:jc w:val="both"/>
        <w:rPr>
          <w:lang w:val="vi-VN"/>
        </w:rPr>
      </w:pPr>
      <w:r w:rsidRPr="00160625">
        <w:rPr>
          <w:lang w:val="vi-VN"/>
        </w:rPr>
        <w:t>Thông tư số 137/2014/TT-BTC ngày 18/9/2014 của Bộ Tài chính hướng dẫn về lập dự toán, chấp hành và quyết toán kinh phí chi trả tiền bồi dưỡng giám định tư pháp của các cơ quan tiến hành tố tụng còn quy định nhiều loại giấy tờ, thủ tục thanh toán; thành phần hồ sơ đề nghị thanh toán chế độ bồi dưỡng còn rườm rà, bị trùng lặp (như Bảng chấm công và Bảng kê thực hiện giám định theo ngày công); quy trình thanh toán chế độ bồi dưỡng giám định rườm rà, phức tạp, qua nhiều khâu, nhiều bước, ảnh hưởng đến thời gian, tâm lý của người làm giám định.</w:t>
      </w:r>
    </w:p>
    <w:p w:rsidR="007A1B59" w:rsidRPr="00160625" w:rsidRDefault="00A62224" w:rsidP="00A62224">
      <w:pPr>
        <w:widowControl w:val="0"/>
        <w:spacing w:line="360" w:lineRule="exact"/>
        <w:ind w:firstLine="709"/>
        <w:jc w:val="both"/>
        <w:rPr>
          <w:lang w:val="vi-VN"/>
        </w:rPr>
      </w:pPr>
      <w:r w:rsidRPr="00160625">
        <w:rPr>
          <w:lang w:val="vi-VN"/>
        </w:rPr>
        <w:t>Quyết định số 01/2014/QĐ-TTg và Thông tư số 137/2014/TT-BTC chưa quy định cụ thể về mức tạm ứng, thời gian thực hiện tạm ứng nên thực tế chưa thực hiện đồng bộ; chưa có quy định về thời hạn cụ thể mà cơ quan trưng cầu phải thực hiện nghĩa vụ thanh toán chi phí giám định, chế độ bồi dưỡng giám định tư pháp.</w:t>
      </w:r>
    </w:p>
    <w:p w:rsidR="00286A35" w:rsidRDefault="003A5DBE" w:rsidP="00286A35">
      <w:pPr>
        <w:widowControl w:val="0"/>
        <w:spacing w:line="360" w:lineRule="exact"/>
        <w:ind w:firstLine="720"/>
        <w:jc w:val="both"/>
        <w:rPr>
          <w:szCs w:val="28"/>
          <w:lang w:val="vi-VN"/>
        </w:rPr>
      </w:pPr>
      <w:r w:rsidRPr="003A5DBE">
        <w:rPr>
          <w:i/>
          <w:lang w:val="vi-VN"/>
        </w:rPr>
        <w:t>Thứ hai</w:t>
      </w:r>
      <w:r>
        <w:rPr>
          <w:lang w:val="vi-VN"/>
        </w:rPr>
        <w:t xml:space="preserve">, </w:t>
      </w:r>
      <w:r w:rsidR="005F20BA" w:rsidRPr="00310A41">
        <w:rPr>
          <w:lang w:val="vi-VN"/>
        </w:rPr>
        <w:t xml:space="preserve">các Bộ, ngành chưa ban hành </w:t>
      </w:r>
      <w:r w:rsidR="004205FD">
        <w:rPr>
          <w:lang w:val="vi-VN"/>
        </w:rPr>
        <w:t xml:space="preserve">đầy đủ </w:t>
      </w:r>
      <w:r w:rsidR="005F20BA" w:rsidRPr="00310A41">
        <w:rPr>
          <w:lang w:val="vi-VN"/>
        </w:rPr>
        <w:t>văn bản hướng dẫn theo quy đị</w:t>
      </w:r>
      <w:r w:rsidR="001855F9">
        <w:rPr>
          <w:lang w:val="vi-VN"/>
        </w:rPr>
        <w:t>nh, m</w:t>
      </w:r>
      <w:r w:rsidR="005F20BA">
        <w:rPr>
          <w:szCs w:val="28"/>
          <w:lang w:val="vi-VN"/>
        </w:rPr>
        <w:t>ặ</w:t>
      </w:r>
      <w:r w:rsidR="001855F9">
        <w:rPr>
          <w:szCs w:val="28"/>
          <w:lang w:val="vi-VN"/>
        </w:rPr>
        <w:t xml:space="preserve">c dù </w:t>
      </w:r>
      <w:r w:rsidR="005F20BA">
        <w:rPr>
          <w:szCs w:val="28"/>
          <w:lang w:val="vi-VN"/>
        </w:rPr>
        <w:t>Quyết định số 01/2014/QĐ-TTg quy định các Bộ, cơ quan ngang Bộ quản lý về lĩnh vực giám định tư pháp có trách nhiệm chủ trì, phối hợp với Bộ Tư pháp và các Bộ, ngành liên quan hướng dẫn, quy định áp dụng đối với từng loại việc giám định và xác định thời gian, số người làm giám định đối với từng loại việc giám định ở lĩnh vực do Bộ, ngành mình quả</w:t>
      </w:r>
      <w:r>
        <w:rPr>
          <w:szCs w:val="28"/>
          <w:lang w:val="vi-VN"/>
        </w:rPr>
        <w:t xml:space="preserve">n lý. </w:t>
      </w:r>
    </w:p>
    <w:p w:rsidR="00286A35" w:rsidRPr="001855F9" w:rsidRDefault="00286A35" w:rsidP="001855F9">
      <w:pPr>
        <w:widowControl w:val="0"/>
        <w:spacing w:line="360" w:lineRule="exact"/>
        <w:ind w:firstLine="720"/>
        <w:jc w:val="both"/>
        <w:rPr>
          <w:szCs w:val="28"/>
          <w:lang w:val="vi-VN"/>
        </w:rPr>
      </w:pPr>
      <w:r>
        <w:rPr>
          <w:szCs w:val="28"/>
          <w:lang w:val="vi-VN"/>
        </w:rPr>
        <w:lastRenderedPageBreak/>
        <w:t>Đ</w:t>
      </w:r>
      <w:r w:rsidR="005F20BA">
        <w:rPr>
          <w:szCs w:val="28"/>
          <w:lang w:val="vi-VN"/>
        </w:rPr>
        <w:t>ế</w:t>
      </w:r>
      <w:r w:rsidR="003A5DBE">
        <w:rPr>
          <w:szCs w:val="28"/>
          <w:lang w:val="vi-VN"/>
        </w:rPr>
        <w:t>n nay</w:t>
      </w:r>
      <w:r w:rsidR="00F55573">
        <w:rPr>
          <w:szCs w:val="28"/>
          <w:lang w:val="vi-VN"/>
        </w:rPr>
        <w:t>,</w:t>
      </w:r>
      <w:r w:rsidR="005F20BA">
        <w:rPr>
          <w:szCs w:val="28"/>
          <w:lang w:val="vi-VN"/>
        </w:rPr>
        <w:t xml:space="preserve"> </w:t>
      </w:r>
      <w:r w:rsidR="003A5DBE">
        <w:rPr>
          <w:szCs w:val="28"/>
          <w:lang w:val="vi-VN"/>
        </w:rPr>
        <w:t xml:space="preserve">mới có </w:t>
      </w:r>
      <w:r w:rsidR="004205FD">
        <w:rPr>
          <w:szCs w:val="28"/>
          <w:lang w:val="vi-VN"/>
        </w:rPr>
        <w:t>Bộ Y tế ban hành Thông tư số</w:t>
      </w:r>
      <w:r w:rsidR="005F20BA">
        <w:rPr>
          <w:szCs w:val="28"/>
          <w:lang w:val="vi-VN"/>
        </w:rPr>
        <w:t xml:space="preserve"> </w:t>
      </w:r>
      <w:r w:rsidR="004205FD">
        <w:rPr>
          <w:szCs w:val="26"/>
          <w:lang w:val="vi-VN"/>
        </w:rPr>
        <w:t xml:space="preserve">31/2015/TT-BYT ngày 14/10/2015 và Bộ Công an ban hành Thông tư số 49/2017/TT-BCA ngày 26/10/2017. </w:t>
      </w:r>
      <w:r w:rsidR="00E006F5">
        <w:rPr>
          <w:szCs w:val="28"/>
          <w:lang w:val="vi-VN"/>
        </w:rPr>
        <w:t xml:space="preserve">Tuy nhiên, Thông tư số 49/2017/TT-BCA </w:t>
      </w:r>
      <w:r w:rsidR="00F22CD5">
        <w:rPr>
          <w:szCs w:val="28"/>
          <w:lang w:val="vi-VN"/>
        </w:rPr>
        <w:t xml:space="preserve">của </w:t>
      </w:r>
      <w:r w:rsidR="00E006F5">
        <w:rPr>
          <w:szCs w:val="28"/>
          <w:lang w:val="vi-VN"/>
        </w:rPr>
        <w:t xml:space="preserve">Bộ Công an không </w:t>
      </w:r>
      <w:r>
        <w:rPr>
          <w:szCs w:val="28"/>
          <w:lang w:val="vi-VN"/>
        </w:rPr>
        <w:t>hướng dẫn</w:t>
      </w:r>
      <w:r w:rsidR="00E006F5">
        <w:rPr>
          <w:szCs w:val="28"/>
          <w:lang w:val="vi-VN"/>
        </w:rPr>
        <w:t xml:space="preserve"> chế độ bồi dưỡng giám định tư pháp trong lĩnh vực pháp y của Công an nhân dân</w:t>
      </w:r>
      <w:r w:rsidR="00F22CD5">
        <w:rPr>
          <w:szCs w:val="28"/>
          <w:lang w:val="vi-VN"/>
        </w:rPr>
        <w:t xml:space="preserve"> và cũng </w:t>
      </w:r>
      <w:r w:rsidR="00FE4CBB">
        <w:rPr>
          <w:szCs w:val="28"/>
          <w:lang w:val="vi-VN"/>
        </w:rPr>
        <w:t xml:space="preserve">không hướng dẫn về việc </w:t>
      </w:r>
      <w:r>
        <w:rPr>
          <w:szCs w:val="28"/>
          <w:lang w:val="vi-VN"/>
        </w:rPr>
        <w:t xml:space="preserve">giám định viên </w:t>
      </w:r>
      <w:r w:rsidR="00FE4CBB">
        <w:rPr>
          <w:szCs w:val="28"/>
          <w:lang w:val="vi-VN"/>
        </w:rPr>
        <w:t xml:space="preserve">pháp y </w:t>
      </w:r>
      <w:r>
        <w:rPr>
          <w:szCs w:val="28"/>
          <w:lang w:val="vi-VN"/>
        </w:rPr>
        <w:t xml:space="preserve">trong Công an nhân dân được </w:t>
      </w:r>
      <w:r w:rsidR="00FE4CBB">
        <w:rPr>
          <w:szCs w:val="28"/>
          <w:lang w:val="vi-VN"/>
        </w:rPr>
        <w:t>hưởng chế độ bồi dưỡng theo quy định của Bộ Y tế</w:t>
      </w:r>
      <w:r w:rsidR="001855F9">
        <w:rPr>
          <w:szCs w:val="28"/>
          <w:lang w:val="vi-VN"/>
        </w:rPr>
        <w:t xml:space="preserve">; đến ngày 03/9/2019, Bộ Công an mới ban hành Công văn số 2534/BCA-H01 về việc hướng dẫn thực hiện chế độ bồi dưỡng giám định tư pháp trong lĩnh vực pháp y trong Công an nhân dân. Vì vậy, trong </w:t>
      </w:r>
      <w:r w:rsidR="00565819">
        <w:rPr>
          <w:szCs w:val="28"/>
          <w:lang w:val="vi-VN"/>
        </w:rPr>
        <w:t>khoảng thời gian từ năm 2014 đến tháng 8 năm 2019</w:t>
      </w:r>
      <w:r w:rsidR="001855F9">
        <w:rPr>
          <w:szCs w:val="28"/>
          <w:lang w:val="vi-VN"/>
        </w:rPr>
        <w:t xml:space="preserve">, </w:t>
      </w:r>
      <w:r w:rsidR="00E006F5">
        <w:rPr>
          <w:szCs w:val="28"/>
          <w:lang w:val="vi-VN"/>
        </w:rPr>
        <w:t>việc thực hiện chế độ bồi dưỡng cho giám định viên pháp y tại các Phòng kỹ thuật hình sự Công an tỉnh không có sự thống nhấ</w:t>
      </w:r>
      <w:r w:rsidR="00F22CD5">
        <w:rPr>
          <w:szCs w:val="28"/>
          <w:lang w:val="vi-VN"/>
        </w:rPr>
        <w:t>t</w:t>
      </w:r>
      <w:r>
        <w:rPr>
          <w:szCs w:val="28"/>
          <w:lang w:val="vi-VN"/>
        </w:rPr>
        <w:t>.</w:t>
      </w:r>
      <w:r w:rsidR="00F22CD5">
        <w:rPr>
          <w:szCs w:val="28"/>
          <w:lang w:val="vi-VN"/>
        </w:rPr>
        <w:t xml:space="preserve"> </w:t>
      </w:r>
      <w:r>
        <w:rPr>
          <w:szCs w:val="28"/>
          <w:lang w:val="vi-VN"/>
        </w:rPr>
        <w:t>M</w:t>
      </w:r>
      <w:r w:rsidR="00F22CD5">
        <w:rPr>
          <w:szCs w:val="28"/>
          <w:lang w:val="vi-VN"/>
        </w:rPr>
        <w:t xml:space="preserve">ột số </w:t>
      </w:r>
      <w:r w:rsidR="00E006F5">
        <w:rPr>
          <w:szCs w:val="28"/>
          <w:lang w:val="vi-VN"/>
        </w:rPr>
        <w:t xml:space="preserve">địa phương áp dụng theo Quyết định số 01/2014/QĐ-TTg và Thông tư số </w:t>
      </w:r>
      <w:r w:rsidR="00E006F5">
        <w:rPr>
          <w:szCs w:val="26"/>
          <w:lang w:val="vi-VN"/>
        </w:rPr>
        <w:t>31/2015/TT-BYT</w:t>
      </w:r>
      <w:r w:rsidR="00F22CD5">
        <w:rPr>
          <w:szCs w:val="26"/>
          <w:lang w:val="vi-VN"/>
        </w:rPr>
        <w:t xml:space="preserve">; còn đa số </w:t>
      </w:r>
      <w:r w:rsidR="00E006F5">
        <w:rPr>
          <w:szCs w:val="26"/>
          <w:lang w:val="vi-VN"/>
        </w:rPr>
        <w:t xml:space="preserve">địa phương áp dụng theo Công văn số </w:t>
      </w:r>
      <w:r w:rsidR="00FE4CBB">
        <w:rPr>
          <w:szCs w:val="26"/>
          <w:lang w:val="vi-VN"/>
        </w:rPr>
        <w:t>2263/BCA-V22 của Bộ</w:t>
      </w:r>
      <w:r w:rsidR="00F22CD5">
        <w:rPr>
          <w:szCs w:val="26"/>
          <w:lang w:val="vi-VN"/>
        </w:rPr>
        <w:t xml:space="preserve"> Công an. </w:t>
      </w:r>
      <w:r>
        <w:rPr>
          <w:szCs w:val="26"/>
          <w:lang w:val="vi-VN"/>
        </w:rPr>
        <w:t>Theo Công văn này, một vụ việc chỉ có 01 giám định viên pháp y thực hiện và được chi trả tiền bồi dưỡng giám định tư pháp, trong khi đó, theo quy định tại</w:t>
      </w:r>
      <w:r w:rsidRPr="00286A35">
        <w:rPr>
          <w:szCs w:val="28"/>
          <w:lang w:val="vi-VN"/>
        </w:rPr>
        <w:t xml:space="preserve"> </w:t>
      </w:r>
      <w:r>
        <w:rPr>
          <w:szCs w:val="28"/>
          <w:lang w:val="vi-VN"/>
        </w:rPr>
        <w:t xml:space="preserve">Thông tư số </w:t>
      </w:r>
      <w:r>
        <w:rPr>
          <w:szCs w:val="26"/>
          <w:lang w:val="vi-VN"/>
        </w:rPr>
        <w:t xml:space="preserve">31/2015/TT-BYT thì một vụ việc có 02 giám định viên pháp y được hưởng chế độ bồi dưỡng giám định tư pháp. </w:t>
      </w:r>
      <w:r w:rsidR="001855F9">
        <w:rPr>
          <w:szCs w:val="26"/>
          <w:lang w:val="vi-VN"/>
        </w:rPr>
        <w:t xml:space="preserve">Việc áp dụng văn bản này </w:t>
      </w:r>
      <w:r>
        <w:rPr>
          <w:szCs w:val="26"/>
          <w:lang w:val="vi-VN"/>
        </w:rPr>
        <w:t>đã làm ảnh hưởng đến chế độ bồi dưỡng cùa giám định viên pháp y trong Công an nhân dân.</w:t>
      </w:r>
    </w:p>
    <w:p w:rsidR="00A62224" w:rsidRPr="00A62224" w:rsidRDefault="00286A35" w:rsidP="00A62224">
      <w:pPr>
        <w:widowControl w:val="0"/>
        <w:spacing w:line="360" w:lineRule="exact"/>
        <w:ind w:firstLine="720"/>
        <w:jc w:val="both"/>
        <w:rPr>
          <w:szCs w:val="28"/>
          <w:lang w:val="vi-VN"/>
        </w:rPr>
      </w:pPr>
      <w:r>
        <w:rPr>
          <w:szCs w:val="26"/>
          <w:lang w:val="vi-VN"/>
        </w:rPr>
        <w:t xml:space="preserve">Về chế độ bồi dưỡng giám định tư pháp trong các lĩnh vực khác như </w:t>
      </w:r>
      <w:r>
        <w:rPr>
          <w:szCs w:val="28"/>
          <w:lang w:val="vi-VN"/>
        </w:rPr>
        <w:t>tài chính, ngân hàng, văn hóa, xây dựng, tài nguyên và môi trường, thông tin và truyền thông, nông nghiệp và phát triển nông thôn... chưa được các Bộ, ngành quản lý ban hành văn bản quy định</w:t>
      </w:r>
      <w:r w:rsidRPr="00FF1B50">
        <w:rPr>
          <w:szCs w:val="28"/>
          <w:lang w:val="vi-VN"/>
        </w:rPr>
        <w:t xml:space="preserve"> </w:t>
      </w:r>
      <w:r>
        <w:rPr>
          <w:szCs w:val="28"/>
          <w:lang w:val="vi-VN"/>
        </w:rPr>
        <w:t xml:space="preserve">thời gian, số người làm giám định đối với từng loại việc giám định nên chỉ áp dụng được mức bồi dưỡng thấp nhất, trong khi có những loại việc phức tạp hoặc có yếu tố độc hại thì không được áp dụng mức bồi dưỡng cao hơn theo quy định. </w:t>
      </w:r>
      <w:r w:rsidR="00A62224">
        <w:rPr>
          <w:szCs w:val="28"/>
          <w:lang w:val="vi-VN"/>
        </w:rPr>
        <w:t>Việc các Bộ, ngành chưa quy định hướng dẫn cụ thể cũng gây khó khăn cho việc cơ quan điều tra, cơ quan tiến hành tố tụng trong việc tạm ứng, tính chi phí bồi dưỡng giám định tư pháp cho những người làm giám định.</w:t>
      </w:r>
    </w:p>
    <w:p w:rsidR="00F46647" w:rsidRPr="00A62224" w:rsidRDefault="00F46647" w:rsidP="00293423">
      <w:pPr>
        <w:widowControl w:val="0"/>
        <w:spacing w:line="360" w:lineRule="exact"/>
        <w:ind w:firstLine="720"/>
        <w:jc w:val="both"/>
        <w:rPr>
          <w:szCs w:val="28"/>
          <w:lang w:val="vi-VN"/>
        </w:rPr>
      </w:pPr>
      <w:r w:rsidRPr="00F46647">
        <w:rPr>
          <w:i/>
          <w:szCs w:val="26"/>
          <w:lang w:val="vi-VN"/>
        </w:rPr>
        <w:t>Thứ ba</w:t>
      </w:r>
      <w:r>
        <w:rPr>
          <w:szCs w:val="26"/>
          <w:lang w:val="vi-VN"/>
        </w:rPr>
        <w:t xml:space="preserve">, </w:t>
      </w:r>
      <w:r w:rsidR="009A7365" w:rsidRPr="009A7365">
        <w:rPr>
          <w:szCs w:val="28"/>
          <w:lang w:val="vi-VN"/>
        </w:rPr>
        <w:t>mặc dù</w:t>
      </w:r>
      <w:r w:rsidR="009A7365">
        <w:rPr>
          <w:szCs w:val="28"/>
          <w:lang w:val="vi-VN"/>
        </w:rPr>
        <w:t>,</w:t>
      </w:r>
      <w:r w:rsidR="009A7365" w:rsidRPr="009A7365">
        <w:rPr>
          <w:szCs w:val="28"/>
          <w:lang w:val="vi-VN"/>
        </w:rPr>
        <w:t xml:space="preserve"> </w:t>
      </w:r>
      <w:r w:rsidR="00FE4CBB" w:rsidRPr="009A7365">
        <w:rPr>
          <w:szCs w:val="28"/>
          <w:lang w:val="vi-VN"/>
        </w:rPr>
        <w:t>việc</w:t>
      </w:r>
      <w:r w:rsidR="00FE4CBB">
        <w:rPr>
          <w:szCs w:val="28"/>
          <w:lang w:val="vi-VN"/>
        </w:rPr>
        <w:t xml:space="preserve"> chi trả tiền bồi dưỡng giám định tư pháp được thực hiện theo đúng mức quy định tại Quyết định số 01/2014/QĐ-TTg nhưng vẫn còn tồn tại </w:t>
      </w:r>
      <w:r w:rsidR="00293423">
        <w:rPr>
          <w:szCs w:val="28"/>
          <w:lang w:val="vi-VN"/>
        </w:rPr>
        <w:t>một số vướng mắc về</w:t>
      </w:r>
      <w:r>
        <w:rPr>
          <w:szCs w:val="28"/>
          <w:lang w:val="vi-VN"/>
        </w:rPr>
        <w:t xml:space="preserve"> thủ tục tạm ứng</w:t>
      </w:r>
      <w:r w:rsidR="00293423">
        <w:rPr>
          <w:szCs w:val="28"/>
          <w:lang w:val="vi-VN"/>
        </w:rPr>
        <w:t>;</w:t>
      </w:r>
      <w:r>
        <w:rPr>
          <w:szCs w:val="28"/>
          <w:lang w:val="vi-VN"/>
        </w:rPr>
        <w:t xml:space="preserve"> quy trình, thủ tục thanh toán </w:t>
      </w:r>
      <w:r w:rsidR="00293423">
        <w:rPr>
          <w:szCs w:val="28"/>
          <w:lang w:val="vi-VN"/>
        </w:rPr>
        <w:t>tiền bồi dưỡng giám đị</w:t>
      </w:r>
      <w:r w:rsidR="00A62224">
        <w:rPr>
          <w:szCs w:val="28"/>
          <w:lang w:val="vi-VN"/>
        </w:rPr>
        <w:t>nh tư pháp, cụ thể:</w:t>
      </w:r>
    </w:p>
    <w:p w:rsidR="00293423" w:rsidRDefault="00A62224" w:rsidP="00293423">
      <w:pPr>
        <w:widowControl w:val="0"/>
        <w:spacing w:line="360" w:lineRule="exact"/>
        <w:ind w:firstLine="709"/>
        <w:jc w:val="both"/>
        <w:rPr>
          <w:szCs w:val="28"/>
          <w:lang w:val="vi-VN"/>
        </w:rPr>
      </w:pPr>
      <w:r w:rsidRPr="00A62224">
        <w:rPr>
          <w:szCs w:val="28"/>
          <w:lang w:val="vi-VN"/>
        </w:rPr>
        <w:t xml:space="preserve">- </w:t>
      </w:r>
      <w:r w:rsidR="00293423">
        <w:rPr>
          <w:szCs w:val="28"/>
          <w:lang w:val="vi-VN"/>
        </w:rPr>
        <w:t>Đa số các cơ quan trưng cầu chỉ chi trả tiền bồi dưỡng giám định tư pháp khi nhận được kết luận giám định mà không thực hiện bước tạm ứng tiền bồi dưỡng giám định tư pháp. Có những trường hợp, giám định viên tư pháp phải</w:t>
      </w:r>
      <w:r w:rsidR="00293423" w:rsidRPr="00AD45BE">
        <w:rPr>
          <w:szCs w:val="28"/>
          <w:lang w:val="vi-VN"/>
        </w:rPr>
        <w:t xml:space="preserve"> </w:t>
      </w:r>
      <w:r w:rsidR="00293423">
        <w:rPr>
          <w:szCs w:val="28"/>
          <w:lang w:val="vi-VN"/>
        </w:rPr>
        <w:t xml:space="preserve">tự túc chi phí đi lại, ăn ở hoặc lấy từ chế độ công tác phí trong khi vụ việc phức tạp, thời gian kéo dài hoặc hiện trường giám định ở những vùng xa xôi, hẻo lánh... Do đó, một số giám định viên tư pháp, người giám định tư pháp theo vụ </w:t>
      </w:r>
      <w:r w:rsidR="00293423">
        <w:rPr>
          <w:szCs w:val="28"/>
          <w:lang w:val="vi-VN"/>
        </w:rPr>
        <w:lastRenderedPageBreak/>
        <w:t xml:space="preserve">việc không nhiệt tình tham gia giám định hoặc tìm cách từ chối khi được trưng cầu giám định. </w:t>
      </w:r>
    </w:p>
    <w:p w:rsidR="00AD45BE" w:rsidRDefault="00A62224" w:rsidP="00AD45BE">
      <w:pPr>
        <w:widowControl w:val="0"/>
        <w:spacing w:line="360" w:lineRule="exact"/>
        <w:ind w:firstLine="709"/>
        <w:jc w:val="both"/>
        <w:rPr>
          <w:szCs w:val="28"/>
          <w:lang w:val="vi-VN"/>
        </w:rPr>
      </w:pPr>
      <w:r w:rsidRPr="00A62224">
        <w:rPr>
          <w:szCs w:val="28"/>
          <w:lang w:val="vi-VN"/>
        </w:rPr>
        <w:t>-</w:t>
      </w:r>
      <w:r w:rsidR="00293423">
        <w:rPr>
          <w:szCs w:val="28"/>
          <w:lang w:val="vi-VN"/>
        </w:rPr>
        <w:t xml:space="preserve"> </w:t>
      </w:r>
      <w:r w:rsidR="00F46647">
        <w:rPr>
          <w:szCs w:val="28"/>
          <w:lang w:val="vi-VN"/>
        </w:rPr>
        <w:t xml:space="preserve">Trong </w:t>
      </w:r>
      <w:r w:rsidR="00293423">
        <w:rPr>
          <w:szCs w:val="28"/>
          <w:lang w:val="vi-VN"/>
        </w:rPr>
        <w:t>ngành</w:t>
      </w:r>
      <w:r w:rsidR="00F46647">
        <w:rPr>
          <w:szCs w:val="28"/>
          <w:lang w:val="vi-VN"/>
        </w:rPr>
        <w:t xml:space="preserve"> y tế</w:t>
      </w:r>
      <w:r w:rsidR="00FE4CBB">
        <w:rPr>
          <w:szCs w:val="28"/>
          <w:lang w:val="vi-VN"/>
        </w:rPr>
        <w:t xml:space="preserve">, ở một số địa phương, cơ quan trưng cầu trả chậm theo 6 tháng hoặc cuối năm, thậm chí kéo dài sang năm sau nên việc chi trả bồi dưỡng cho giám định viên tư pháp và người giúp việc chưa kịp thời </w:t>
      </w:r>
      <w:r w:rsidR="009A7365">
        <w:rPr>
          <w:szCs w:val="28"/>
          <w:lang w:val="vi-VN"/>
        </w:rPr>
        <w:t>(</w:t>
      </w:r>
      <w:r w:rsidR="00FE4CBB">
        <w:rPr>
          <w:szCs w:val="28"/>
          <w:lang w:val="vi-VN"/>
        </w:rPr>
        <w:t>Kon Tum, Đắk Lắk, Hậu Giang, Yên Bái, Khánh Hòa, Lào Cai...</w:t>
      </w:r>
      <w:r w:rsidR="009A7365">
        <w:rPr>
          <w:szCs w:val="28"/>
          <w:lang w:val="vi-VN"/>
        </w:rPr>
        <w:t>)</w:t>
      </w:r>
      <w:r w:rsidR="00F46647">
        <w:rPr>
          <w:szCs w:val="28"/>
          <w:lang w:val="vi-VN"/>
        </w:rPr>
        <w:t xml:space="preserve">. </w:t>
      </w:r>
      <w:r w:rsidR="00FE4CBB">
        <w:rPr>
          <w:szCs w:val="28"/>
          <w:lang w:val="vi-VN"/>
        </w:rPr>
        <w:t xml:space="preserve">Một số trường hợp giám định xong nhưng cơ quan trưng cầu không lấy kết quả nên giám định viên không được thanh toán tiền bồi dưỡng giám định tư pháp như tại Đắk Nông. </w:t>
      </w:r>
      <w:r w:rsidR="00F46647">
        <w:rPr>
          <w:szCs w:val="28"/>
          <w:lang w:val="vi-VN"/>
        </w:rPr>
        <w:t>Trong lĩnh vực ngân hàng, tài chính...</w:t>
      </w:r>
      <w:r w:rsidR="009A7365">
        <w:rPr>
          <w:szCs w:val="28"/>
          <w:lang w:val="vi-VN"/>
        </w:rPr>
        <w:t xml:space="preserve"> một số đoàn giám định đã hoàn thành kết luận giám định và hồ sơ thanh toán tiền bồi dưỡng giám định gửi cơ quan tiến hành tố tụng nhưng chưa được thanh toán đầy đủ</w:t>
      </w:r>
      <w:r w:rsidR="00F46647">
        <w:rPr>
          <w:rStyle w:val="FootnoteReference"/>
          <w:szCs w:val="28"/>
          <w:lang w:val="vi-VN"/>
        </w:rPr>
        <w:footnoteReference w:id="12"/>
      </w:r>
      <w:r w:rsidR="009A7365">
        <w:rPr>
          <w:szCs w:val="28"/>
          <w:lang w:val="vi-VN"/>
        </w:rPr>
        <w:t>.</w:t>
      </w:r>
      <w:r w:rsidR="00AD45BE">
        <w:rPr>
          <w:szCs w:val="28"/>
          <w:lang w:val="vi-VN"/>
        </w:rPr>
        <w:t xml:space="preserve"> </w:t>
      </w:r>
    </w:p>
    <w:p w:rsidR="00293423" w:rsidRDefault="00A62224" w:rsidP="00AD45BE">
      <w:pPr>
        <w:widowControl w:val="0"/>
        <w:spacing w:line="360" w:lineRule="exact"/>
        <w:ind w:firstLine="709"/>
        <w:jc w:val="both"/>
        <w:rPr>
          <w:szCs w:val="28"/>
          <w:lang w:val="vi-VN"/>
        </w:rPr>
      </w:pPr>
      <w:r w:rsidRPr="00A62224">
        <w:rPr>
          <w:szCs w:val="28"/>
          <w:lang w:val="vi-VN"/>
        </w:rPr>
        <w:t>-</w:t>
      </w:r>
      <w:r w:rsidR="00293423">
        <w:rPr>
          <w:szCs w:val="28"/>
          <w:lang w:val="vi-VN"/>
        </w:rPr>
        <w:t xml:space="preserve"> Trong ngành Công an nhân dân, hiện nay giám định viên và các trợ lý giám định của </w:t>
      </w:r>
      <w:r w:rsidR="00081A72">
        <w:rPr>
          <w:szCs w:val="28"/>
          <w:lang w:val="vi-VN"/>
        </w:rPr>
        <w:t>lực lượng kỹ thuật hình sự không được thực hiện chấm công ngoài giờ</w:t>
      </w:r>
      <w:r w:rsidR="009E643C">
        <w:rPr>
          <w:szCs w:val="28"/>
          <w:lang w:val="vi-VN"/>
        </w:rPr>
        <w:t>,</w:t>
      </w:r>
      <w:r w:rsidR="00081A72">
        <w:rPr>
          <w:szCs w:val="28"/>
          <w:lang w:val="vi-VN"/>
        </w:rPr>
        <w:t xml:space="preserve"> mặc dù khoản 4, khoản 5 Điều 2 Quyết định số 01/2014/QĐ-TTg đã quy định các trường hợp </w:t>
      </w:r>
      <w:r w:rsidR="005B4545">
        <w:rPr>
          <w:szCs w:val="28"/>
          <w:lang w:val="vi-VN"/>
        </w:rPr>
        <w:t xml:space="preserve">người thực hiện giám định được hưởng </w:t>
      </w:r>
      <w:r w:rsidR="00081A72">
        <w:rPr>
          <w:szCs w:val="28"/>
          <w:lang w:val="vi-VN"/>
        </w:rPr>
        <w:t xml:space="preserve">tiền bồi dưỡng </w:t>
      </w:r>
      <w:r w:rsidR="009E643C">
        <w:rPr>
          <w:szCs w:val="28"/>
          <w:lang w:val="vi-VN"/>
        </w:rPr>
        <w:t xml:space="preserve">khi phải </w:t>
      </w:r>
      <w:r w:rsidR="00081A72">
        <w:rPr>
          <w:szCs w:val="28"/>
          <w:lang w:val="vi-VN"/>
        </w:rPr>
        <w:t>làm thêm ngoài giờ làm việc</w:t>
      </w:r>
      <w:r w:rsidR="005B4545">
        <w:rPr>
          <w:szCs w:val="28"/>
          <w:lang w:val="vi-VN"/>
        </w:rPr>
        <w:t>.</w:t>
      </w:r>
      <w:r w:rsidR="00081A72">
        <w:rPr>
          <w:szCs w:val="28"/>
          <w:lang w:val="vi-VN"/>
        </w:rPr>
        <w:t xml:space="preserve"> </w:t>
      </w:r>
      <w:r w:rsidR="005B4545">
        <w:rPr>
          <w:szCs w:val="28"/>
          <w:lang w:val="vi-VN"/>
        </w:rPr>
        <w:t>Điều này gây thiệt thòi về chế độ, chính sách cho các giám định viên, trợ lý giám định của lực lượng kỹ thuật hình sự so với các lĩnh khác. Trên thực tế, có nhiều vụ việc giám định viên, trợ lý giám định phải làm thêm ngoài giờ, làm việc vào ngày nghỉ, ngày lễ để đảm bảo sớm có kết luận giám định phục vụ yêu cầu của hoạt động tố tụng.</w:t>
      </w:r>
    </w:p>
    <w:p w:rsidR="00F46647" w:rsidRDefault="00A62224" w:rsidP="00AD45BE">
      <w:pPr>
        <w:widowControl w:val="0"/>
        <w:spacing w:line="360" w:lineRule="exact"/>
        <w:ind w:firstLine="709"/>
        <w:jc w:val="both"/>
        <w:rPr>
          <w:szCs w:val="28"/>
          <w:lang w:val="vi-VN"/>
        </w:rPr>
      </w:pPr>
      <w:r w:rsidRPr="00A62224">
        <w:rPr>
          <w:szCs w:val="28"/>
          <w:lang w:val="vi-VN"/>
        </w:rPr>
        <w:t>-</w:t>
      </w:r>
      <w:r w:rsidR="005B4545">
        <w:rPr>
          <w:szCs w:val="28"/>
          <w:lang w:val="vi-VN"/>
        </w:rPr>
        <w:t xml:space="preserve"> M</w:t>
      </w:r>
      <w:r w:rsidR="00AD45BE">
        <w:rPr>
          <w:szCs w:val="28"/>
          <w:lang w:val="vi-VN"/>
        </w:rPr>
        <w:t>ặc dù, Bộ Tài chính đảm bảo nguồn kinh phí để chi trả chế độ bồi dưỡng giám định tư pháp và đã có hướng dẫn về lập dự toán, chấp hành và quyết toán kinh phí chi trả tiền bồi dưỡng giám định tư pháp của các cơ quan tiến hành tố tụng (Thông tư số 137/2014/TT-BTC ngày 18/9/2014 của Bộ Tài chính), tuy nhiên, thực tế một số cơ quan điều tra, cơ quan trưng cầu vẫn còn lúng túng trong việc chi trả chế độ này</w:t>
      </w:r>
      <w:r w:rsidR="00F55573">
        <w:rPr>
          <w:szCs w:val="28"/>
          <w:lang w:val="vi-VN"/>
        </w:rPr>
        <w:t>,</w:t>
      </w:r>
      <w:r w:rsidR="00AD45BE">
        <w:rPr>
          <w:szCs w:val="28"/>
          <w:lang w:val="vi-VN"/>
        </w:rPr>
        <w:t xml:space="preserve"> nhất là trên cách lĩnh vực giám định xây dựng, tài chính kế toán, cụ thể là về cách tính, thủ tục cũng như định mức chi trả. Quy </w:t>
      </w:r>
      <w:r w:rsidR="009A7365">
        <w:rPr>
          <w:szCs w:val="28"/>
          <w:lang w:val="vi-VN"/>
        </w:rPr>
        <w:t xml:space="preserve">trình, thủ tục thanh toán tiền bồi dưỡng giám định tư pháp phức tạp, </w:t>
      </w:r>
      <w:r w:rsidR="00FE4CBB">
        <w:rPr>
          <w:szCs w:val="28"/>
          <w:lang w:val="vi-VN"/>
        </w:rPr>
        <w:t xml:space="preserve">khác nhau ở các tỉnh, có tỉnh việc làm các thủ tục, hồ sơ thanh toán do cơ quan trưng cầu thực hiện, có tỉnh lại do cơ quan thực hiện giám định thực hiện như Bình Dương, Hậu Giang, Yên Bái, Sơn La... </w:t>
      </w:r>
    </w:p>
    <w:p w:rsidR="00310A41" w:rsidRPr="005F20BA" w:rsidRDefault="00CF26F8" w:rsidP="005F20BA">
      <w:pPr>
        <w:widowControl w:val="0"/>
        <w:tabs>
          <w:tab w:val="left" w:pos="0"/>
        </w:tabs>
        <w:spacing w:line="360" w:lineRule="exact"/>
        <w:ind w:firstLine="720"/>
        <w:jc w:val="both"/>
        <w:rPr>
          <w:b/>
          <w:bCs/>
          <w:szCs w:val="28"/>
          <w:lang w:val="vi-VN"/>
        </w:rPr>
      </w:pPr>
      <w:r>
        <w:rPr>
          <w:rStyle w:val="Strong"/>
          <w:szCs w:val="28"/>
          <w:lang w:val="vi-VN"/>
        </w:rPr>
        <w:t>1.3</w:t>
      </w:r>
      <w:r w:rsidR="00190AAB" w:rsidRPr="00B97835">
        <w:rPr>
          <w:rStyle w:val="Strong"/>
          <w:szCs w:val="28"/>
          <w:lang w:val="nl-NL"/>
        </w:rPr>
        <w:t>. Nguyên nhân chủ yếu của những khó khăn, vướng mắc</w:t>
      </w:r>
    </w:p>
    <w:p w:rsidR="00190AAB" w:rsidRDefault="00CF26F8" w:rsidP="00310A41">
      <w:pPr>
        <w:widowControl w:val="0"/>
        <w:spacing w:line="360" w:lineRule="exact"/>
        <w:ind w:firstLine="720"/>
        <w:jc w:val="both"/>
        <w:rPr>
          <w:lang w:val="vi-VN"/>
        </w:rPr>
      </w:pPr>
      <w:r>
        <w:rPr>
          <w:i/>
          <w:lang w:val="vi-VN"/>
        </w:rPr>
        <w:t xml:space="preserve">Thứ nhất, </w:t>
      </w:r>
      <w:r>
        <w:rPr>
          <w:lang w:val="vi-VN"/>
        </w:rPr>
        <w:t>nhận</w:t>
      </w:r>
      <w:r w:rsidR="00190AAB" w:rsidRPr="007054EA">
        <w:rPr>
          <w:lang w:val="nb-NO"/>
        </w:rPr>
        <w:t xml:space="preserve"> thức của một số Bộ, </w:t>
      </w:r>
      <w:r w:rsidR="00190AAB">
        <w:rPr>
          <w:lang w:val="nb-NO"/>
        </w:rPr>
        <w:t>cơ quan ngang Bộ, cơ quan tiến hành tố tụng cấp Trung ương</w:t>
      </w:r>
      <w:r w:rsidR="00190AAB" w:rsidRPr="007054EA">
        <w:rPr>
          <w:lang w:val="nb-NO"/>
        </w:rPr>
        <w:t xml:space="preserve"> và Ủy ban nhân dân cấp tỉnh, đặc biệt là của người đứng đầu chưa </w:t>
      </w:r>
      <w:r w:rsidR="00190AAB">
        <w:rPr>
          <w:lang w:val="nb-NO"/>
        </w:rPr>
        <w:t xml:space="preserve">xác định </w:t>
      </w:r>
      <w:r w:rsidR="00190AAB" w:rsidRPr="007054EA">
        <w:rPr>
          <w:lang w:val="nb-NO"/>
        </w:rPr>
        <w:t>đầy đủ</w:t>
      </w:r>
      <w:r w:rsidR="00190AAB">
        <w:rPr>
          <w:lang w:val="nb-NO"/>
        </w:rPr>
        <w:t xml:space="preserve"> </w:t>
      </w:r>
      <w:r w:rsidR="00190AAB" w:rsidRPr="007054EA">
        <w:rPr>
          <w:lang w:val="nb-NO"/>
        </w:rPr>
        <w:t>về</w:t>
      </w:r>
      <w:r w:rsidR="00190AAB">
        <w:rPr>
          <w:lang w:val="nb-NO"/>
        </w:rPr>
        <w:t xml:space="preserve"> </w:t>
      </w:r>
      <w:r w:rsidR="00190AAB" w:rsidRPr="007054EA">
        <w:rPr>
          <w:lang w:val="nb-NO"/>
        </w:rPr>
        <w:t>tầm quan trọng của công tác giám định tư pháp đối với hoạt động tố tụ</w:t>
      </w:r>
      <w:r w:rsidR="00190AAB">
        <w:rPr>
          <w:lang w:val="nb-NO"/>
        </w:rPr>
        <w:t xml:space="preserve">ng cũng như trách nhiệm của cơ quan mình đối với công tác </w:t>
      </w:r>
      <w:r w:rsidR="00190AAB">
        <w:rPr>
          <w:lang w:val="nb-NO"/>
        </w:rPr>
        <w:lastRenderedPageBreak/>
        <w:t>giám định tư pháp</w:t>
      </w:r>
      <w:r w:rsidR="005F20BA">
        <w:rPr>
          <w:lang w:val="vi-VN"/>
        </w:rPr>
        <w:t>; ý nghĩa của chế độ bồi dưỡng giám định tư pháp đối với đội ngũ người làm giám định</w:t>
      </w:r>
      <w:r w:rsidR="00190AAB">
        <w:rPr>
          <w:lang w:val="nb-NO"/>
        </w:rPr>
        <w:t xml:space="preserve">. </w:t>
      </w:r>
      <w:r w:rsidR="00190AAB" w:rsidRPr="007054EA">
        <w:rPr>
          <w:lang w:val="nb-NO"/>
        </w:rPr>
        <w:t xml:space="preserve">Công tác tuyên truyền, phổ biến pháp luật </w:t>
      </w:r>
      <w:r w:rsidR="0065374F">
        <w:rPr>
          <w:lang w:val="vi-VN"/>
        </w:rPr>
        <w:t xml:space="preserve">và triển khai, thực hiện chế độ bồi dưỡng </w:t>
      </w:r>
      <w:r w:rsidR="00190AAB" w:rsidRPr="007054EA">
        <w:rPr>
          <w:lang w:val="nb-NO"/>
        </w:rPr>
        <w:t xml:space="preserve">về giám định tư pháp </w:t>
      </w:r>
      <w:r w:rsidR="00190AAB">
        <w:rPr>
          <w:lang w:val="nb-NO"/>
        </w:rPr>
        <w:t xml:space="preserve">ở nhiều Bộ, ngành, địa phương </w:t>
      </w:r>
      <w:r w:rsidR="00190AAB" w:rsidRPr="007054EA">
        <w:rPr>
          <w:lang w:val="nb-NO"/>
        </w:rPr>
        <w:t>còn</w:t>
      </w:r>
      <w:r w:rsidR="00190AAB">
        <w:rPr>
          <w:lang w:val="nb-NO"/>
        </w:rPr>
        <w:t xml:space="preserve"> hình thức,</w:t>
      </w:r>
      <w:r w:rsidR="00190AAB" w:rsidRPr="007054EA">
        <w:rPr>
          <w:lang w:val="nb-NO"/>
        </w:rPr>
        <w:t xml:space="preserve"> hạn chế</w:t>
      </w:r>
      <w:r w:rsidR="00190AAB">
        <w:rPr>
          <w:lang w:val="nb-NO"/>
        </w:rPr>
        <w:t>.</w:t>
      </w:r>
    </w:p>
    <w:p w:rsidR="0065374F" w:rsidRDefault="0065374F" w:rsidP="00B726DE">
      <w:pPr>
        <w:widowControl w:val="0"/>
        <w:spacing w:line="360" w:lineRule="exact"/>
        <w:ind w:firstLine="720"/>
        <w:jc w:val="both"/>
        <w:rPr>
          <w:lang w:val="vi-VN"/>
        </w:rPr>
      </w:pPr>
      <w:r w:rsidRPr="0065374F">
        <w:rPr>
          <w:i/>
          <w:lang w:val="vi-VN"/>
        </w:rPr>
        <w:t>Thứ hai</w:t>
      </w:r>
      <w:r>
        <w:rPr>
          <w:lang w:val="vi-VN"/>
        </w:rPr>
        <w:t>, một số quy định của Quyết định số 01/2014/QĐ-TTg</w:t>
      </w:r>
      <w:r w:rsidR="00FA1676">
        <w:rPr>
          <w:lang w:val="vi-VN"/>
        </w:rPr>
        <w:t xml:space="preserve"> còn chưa thực sự phù hợp với thực tế, </w:t>
      </w:r>
      <w:r w:rsidR="00B726DE">
        <w:rPr>
          <w:lang w:val="vi-VN"/>
        </w:rPr>
        <w:t xml:space="preserve">các mức bồi dưỡng giám định tư pháp chưa được điều chỉnh kịp thời so với sự biến động giá cả thị trường và mức lương cơ </w:t>
      </w:r>
      <w:r w:rsidR="006B5F30">
        <w:rPr>
          <w:lang w:val="vi-VN"/>
        </w:rPr>
        <w:t>sở</w:t>
      </w:r>
      <w:r w:rsidR="00B726DE">
        <w:rPr>
          <w:lang w:val="vi-VN"/>
        </w:rPr>
        <w:t xml:space="preserve"> tăng nhiều lần trong thời gian qua. Việc </w:t>
      </w:r>
      <w:r w:rsidR="00FA1676">
        <w:rPr>
          <w:lang w:val="vi-VN"/>
        </w:rPr>
        <w:t>ban hành các văn bản hướng dẫn còn chậm, chưa đầy đủ, chưa đảm bảo đáp ứng yêu cầu.</w:t>
      </w:r>
      <w:r w:rsidR="00B726DE">
        <w:rPr>
          <w:lang w:val="vi-VN"/>
        </w:rPr>
        <w:t xml:space="preserve"> </w:t>
      </w:r>
    </w:p>
    <w:p w:rsidR="00A556B8" w:rsidRDefault="00A556B8" w:rsidP="007148DB">
      <w:pPr>
        <w:widowControl w:val="0"/>
        <w:spacing w:line="360" w:lineRule="exact"/>
        <w:ind w:firstLine="720"/>
        <w:jc w:val="both"/>
        <w:rPr>
          <w:lang w:val="vi-VN"/>
        </w:rPr>
      </w:pPr>
      <w:r w:rsidRPr="00A556B8">
        <w:rPr>
          <w:i/>
          <w:lang w:val="vi-VN"/>
        </w:rPr>
        <w:t xml:space="preserve">Thứ </w:t>
      </w:r>
      <w:r w:rsidR="00B726DE">
        <w:rPr>
          <w:i/>
          <w:lang w:val="vi-VN"/>
        </w:rPr>
        <w:t>ba</w:t>
      </w:r>
      <w:r>
        <w:rPr>
          <w:lang w:val="vi-VN"/>
        </w:rPr>
        <w:t>, công tác phối hợp giữa các Bộ, ngành chủ quản với cơ quan giúp Chính phủ và địa phương trong quá trình triển khai, thực hiện Quyết định số 01/2014/QĐ-TTg còn hạn chế, thông tin giữa các Bộ, ngành và địa phương về tình hình, triển khai thực hiện chế độ bồi dưỡng giám định tư pháp còn chưa được thông suốt nên Bộ Tư pháp rất khó khăn trong việc theo dõi, tổng hợp tình hình, nắm bắt những khó khăn, vướng mắc nổi cộm để kịp thời có giải pháp hoặc đề xuất, kiến nghị lên cấp có thẩm quyền giải quyết.</w:t>
      </w:r>
    </w:p>
    <w:p w:rsidR="00E61F49" w:rsidRDefault="00E61F49" w:rsidP="007148DB">
      <w:pPr>
        <w:widowControl w:val="0"/>
        <w:spacing w:line="360" w:lineRule="exact"/>
        <w:ind w:firstLine="720"/>
        <w:jc w:val="both"/>
        <w:rPr>
          <w:lang w:val="vi-VN"/>
        </w:rPr>
      </w:pPr>
      <w:r w:rsidRPr="00A556B8">
        <w:rPr>
          <w:i/>
          <w:lang w:val="vi-VN"/>
        </w:rPr>
        <w:t xml:space="preserve">Thứ </w:t>
      </w:r>
      <w:r w:rsidR="00B726DE">
        <w:rPr>
          <w:i/>
          <w:lang w:val="vi-VN"/>
        </w:rPr>
        <w:t>tư</w:t>
      </w:r>
      <w:r>
        <w:rPr>
          <w:lang w:val="vi-VN"/>
        </w:rPr>
        <w:t xml:space="preserve">, công tác kiểm tra tình hình triển khai, tổ chức thực hiện chế độ bồi dưỡng giám định ở các Bộ, ngành và địa phương cũng chưa được quan tâm, chủ động tiến hành nhằm phát hiện những khó khăn, vướng mắc và hạn chế để có </w:t>
      </w:r>
      <w:r w:rsidR="00A556B8">
        <w:rPr>
          <w:lang w:val="vi-VN"/>
        </w:rPr>
        <w:t>những chỉ đạo, hướng dẫn và uốn nắn kịp thời.</w:t>
      </w:r>
    </w:p>
    <w:p w:rsidR="00190AAB" w:rsidRPr="00EF69E0" w:rsidRDefault="003A1C14" w:rsidP="007148DB">
      <w:pPr>
        <w:widowControl w:val="0"/>
        <w:suppressAutoHyphens/>
        <w:spacing w:line="360" w:lineRule="exact"/>
        <w:ind w:firstLine="540"/>
        <w:jc w:val="both"/>
        <w:rPr>
          <w:b/>
          <w:szCs w:val="28"/>
          <w:lang w:val="vi-VN" w:eastAsia="zh-CN"/>
        </w:rPr>
      </w:pPr>
      <w:r w:rsidRPr="00EF69E0">
        <w:rPr>
          <w:b/>
          <w:color w:val="000000"/>
          <w:szCs w:val="28"/>
          <w:lang w:val="vi-VN"/>
        </w:rPr>
        <w:t>2. Đề xuất</w:t>
      </w:r>
      <w:r w:rsidR="00B726DE">
        <w:rPr>
          <w:b/>
          <w:color w:val="000000"/>
          <w:szCs w:val="28"/>
          <w:lang w:val="vi-VN"/>
        </w:rPr>
        <w:t xml:space="preserve"> định hướng</w:t>
      </w:r>
      <w:r w:rsidRPr="00EF69E0">
        <w:rPr>
          <w:b/>
          <w:color w:val="000000"/>
          <w:szCs w:val="28"/>
          <w:lang w:val="vi-VN"/>
        </w:rPr>
        <w:t xml:space="preserve"> sửa đổi, bổ sung Quyết định</w:t>
      </w:r>
      <w:r w:rsidR="00244F48">
        <w:rPr>
          <w:b/>
          <w:color w:val="000000"/>
          <w:szCs w:val="28"/>
          <w:lang w:val="vi-VN"/>
        </w:rPr>
        <w:t xml:space="preserve"> số 01/</w:t>
      </w:r>
      <w:r w:rsidR="00D33B47">
        <w:rPr>
          <w:b/>
          <w:color w:val="000000"/>
          <w:szCs w:val="28"/>
          <w:lang w:val="vi-VN"/>
        </w:rPr>
        <w:t>2014/</w:t>
      </w:r>
      <w:r w:rsidR="00244F48">
        <w:rPr>
          <w:b/>
          <w:color w:val="000000"/>
          <w:szCs w:val="28"/>
          <w:lang w:val="vi-VN"/>
        </w:rPr>
        <w:t xml:space="preserve">QĐ-TTg </w:t>
      </w:r>
    </w:p>
    <w:p w:rsidR="003143D0" w:rsidRDefault="00B726DE" w:rsidP="003143D0">
      <w:pPr>
        <w:widowControl w:val="0"/>
        <w:spacing w:line="360" w:lineRule="exact"/>
        <w:ind w:firstLine="540"/>
        <w:jc w:val="both"/>
        <w:rPr>
          <w:color w:val="000000"/>
          <w:szCs w:val="28"/>
          <w:lang w:val="nl-NL"/>
        </w:rPr>
      </w:pPr>
      <w:r>
        <w:rPr>
          <w:color w:val="000000"/>
          <w:szCs w:val="28"/>
          <w:lang w:val="vi-VN"/>
        </w:rPr>
        <w:t>Trên cơ sở ý kiến góp ý của các Bộ, ngành, địa phương, cá nhân, tổ chức có liên quan và thực trạng chế độ bồi dưỡng giám định tư pháp hiện nay</w:t>
      </w:r>
      <w:r w:rsidR="00915DC1">
        <w:rPr>
          <w:color w:val="000000"/>
          <w:szCs w:val="28"/>
          <w:lang w:val="nl-NL"/>
        </w:rPr>
        <w:t xml:space="preserve">, </w:t>
      </w:r>
      <w:r w:rsidR="00190AAB" w:rsidRPr="003513B4">
        <w:rPr>
          <w:color w:val="000000"/>
          <w:szCs w:val="28"/>
          <w:lang w:val="nl-NL"/>
        </w:rPr>
        <w:t>định hướ</w:t>
      </w:r>
      <w:r w:rsidR="00915DC1">
        <w:rPr>
          <w:color w:val="000000"/>
          <w:szCs w:val="28"/>
          <w:lang w:val="nl-NL"/>
        </w:rPr>
        <w:t xml:space="preserve">ng </w:t>
      </w:r>
      <w:r w:rsidR="00190AAB" w:rsidRPr="003513B4">
        <w:rPr>
          <w:color w:val="000000"/>
          <w:szCs w:val="28"/>
          <w:lang w:val="nl-NL"/>
        </w:rPr>
        <w:t xml:space="preserve">sửa đổi, bổ sung </w:t>
      </w:r>
      <w:r w:rsidR="00045E7B">
        <w:rPr>
          <w:color w:val="000000"/>
          <w:szCs w:val="28"/>
          <w:lang w:val="vi-VN"/>
        </w:rPr>
        <w:t>Quyết định</w:t>
      </w:r>
      <w:r w:rsidR="00045E7B" w:rsidRPr="00045E7B">
        <w:rPr>
          <w:spacing w:val="2"/>
          <w:szCs w:val="28"/>
          <w:lang w:val="vi-VN" w:eastAsia="zh-CN"/>
        </w:rPr>
        <w:t xml:space="preserve"> </w:t>
      </w:r>
      <w:r w:rsidR="00045E7B">
        <w:rPr>
          <w:spacing w:val="2"/>
          <w:szCs w:val="28"/>
          <w:lang w:val="vi-VN" w:eastAsia="zh-CN"/>
        </w:rPr>
        <w:t xml:space="preserve">số 01/2014/QĐ-TTg </w:t>
      </w:r>
      <w:r w:rsidR="00066CEC">
        <w:rPr>
          <w:color w:val="000000"/>
          <w:szCs w:val="28"/>
          <w:lang w:val="nl-NL"/>
        </w:rPr>
        <w:t>tập trung vào các vấn đề</w:t>
      </w:r>
      <w:r w:rsidR="003143D0">
        <w:rPr>
          <w:color w:val="000000"/>
          <w:szCs w:val="28"/>
          <w:lang w:val="nl-NL"/>
        </w:rPr>
        <w:t xml:space="preserve"> chính như</w:t>
      </w:r>
      <w:r w:rsidR="00190AAB" w:rsidRPr="003513B4">
        <w:rPr>
          <w:color w:val="000000"/>
          <w:szCs w:val="28"/>
          <w:lang w:val="nl-NL"/>
        </w:rPr>
        <w:t xml:space="preserve"> sau:</w:t>
      </w:r>
    </w:p>
    <w:p w:rsidR="003143D0" w:rsidRDefault="003143D0" w:rsidP="003143D0">
      <w:pPr>
        <w:widowControl w:val="0"/>
        <w:spacing w:line="360" w:lineRule="exact"/>
        <w:ind w:firstLine="540"/>
        <w:jc w:val="both"/>
        <w:rPr>
          <w:spacing w:val="-2"/>
          <w:lang w:val="nl-NL"/>
        </w:rPr>
      </w:pPr>
      <w:r w:rsidRPr="003143D0">
        <w:rPr>
          <w:i/>
          <w:color w:val="000000"/>
          <w:szCs w:val="28"/>
          <w:lang w:val="nl-NL"/>
        </w:rPr>
        <w:t xml:space="preserve">- </w:t>
      </w:r>
      <w:r w:rsidRPr="003143D0">
        <w:rPr>
          <w:i/>
          <w:lang w:val="nl-NL"/>
        </w:rPr>
        <w:t>Về đối tượng hưởng chế độ bồi dưỡng giám định:</w:t>
      </w:r>
      <w:r>
        <w:rPr>
          <w:b/>
          <w:lang w:val="nl-NL"/>
        </w:rPr>
        <w:t xml:space="preserve"> </w:t>
      </w:r>
      <w:r>
        <w:rPr>
          <w:lang w:val="nl-NL"/>
        </w:rPr>
        <w:t xml:space="preserve">Bổ sung thêm </w:t>
      </w:r>
      <w:r>
        <w:rPr>
          <w:spacing w:val="-2"/>
          <w:lang w:val="nl-NL"/>
        </w:rPr>
        <w:t>đối tượng hưởng chế độ bồi dưỡng là người đã nghỉ hưu mà được cơ quan, đơn vị nhà nước ký hợp đồng làm giám định tại Điều 1 nhằm khắc phục tình trạng thiếu hụt nhân lực ở lĩnh vực pháp y, pháp tâm thần và một số lĩnh vực khác để khắc phục bất cập, hạn chế và vướng mắc, khó khăn hiện nay trong việc chi trả tiền bồi dưỡng giám định trên thực tế hiện nay.</w:t>
      </w:r>
    </w:p>
    <w:p w:rsidR="003143D0" w:rsidRPr="003143D0" w:rsidRDefault="003143D0" w:rsidP="003143D0">
      <w:pPr>
        <w:widowControl w:val="0"/>
        <w:spacing w:line="360" w:lineRule="exact"/>
        <w:ind w:firstLine="540"/>
        <w:jc w:val="both"/>
        <w:rPr>
          <w:i/>
          <w:color w:val="000000"/>
          <w:szCs w:val="28"/>
          <w:lang w:val="nl-NL"/>
        </w:rPr>
      </w:pPr>
      <w:r w:rsidRPr="003143D0">
        <w:rPr>
          <w:i/>
          <w:spacing w:val="-2"/>
          <w:lang w:val="nl-NL"/>
        </w:rPr>
        <w:t xml:space="preserve">- Về </w:t>
      </w:r>
      <w:r w:rsidRPr="003143D0">
        <w:rPr>
          <w:i/>
          <w:lang w:val="nl-NL"/>
        </w:rPr>
        <w:t>chế độ bồi dưỡng</w:t>
      </w:r>
      <w:r>
        <w:rPr>
          <w:i/>
          <w:lang w:val="nl-NL"/>
        </w:rPr>
        <w:t>:</w:t>
      </w:r>
      <w:r>
        <w:rPr>
          <w:i/>
          <w:color w:val="000000"/>
          <w:szCs w:val="28"/>
          <w:lang w:val="nl-NL"/>
        </w:rPr>
        <w:t xml:space="preserve"> </w:t>
      </w:r>
      <w:r w:rsidRPr="00567E8A">
        <w:rPr>
          <w:lang w:val="nl-NL"/>
        </w:rPr>
        <w:t xml:space="preserve">Chuyển </w:t>
      </w:r>
      <w:r>
        <w:rPr>
          <w:lang w:val="nl-NL"/>
        </w:rPr>
        <w:t xml:space="preserve">quy định </w:t>
      </w:r>
      <w:r w:rsidRPr="00567E8A">
        <w:rPr>
          <w:lang w:val="nl-NL"/>
        </w:rPr>
        <w:t xml:space="preserve">chế độ bồi dưỡng đối với lĩnh vực pháp y tâm thần, kỹ thuật hình sự và một số </w:t>
      </w:r>
      <w:r>
        <w:rPr>
          <w:lang w:val="nl-NL"/>
        </w:rPr>
        <w:t xml:space="preserve">loại </w:t>
      </w:r>
      <w:r w:rsidRPr="00567E8A">
        <w:rPr>
          <w:lang w:val="nl-NL"/>
        </w:rPr>
        <w:t>việc về pháp y</w:t>
      </w:r>
      <w:r w:rsidRPr="00390B44">
        <w:rPr>
          <w:lang w:val="nl-NL"/>
        </w:rPr>
        <w:t xml:space="preserve"> </w:t>
      </w:r>
      <w:r>
        <w:rPr>
          <w:lang w:val="nl-NL"/>
        </w:rPr>
        <w:t xml:space="preserve">(giám định trên hồ sơ, giám định vi thể, độc chất...) </w:t>
      </w:r>
      <w:r w:rsidRPr="00567E8A">
        <w:rPr>
          <w:lang w:val="nl-NL"/>
        </w:rPr>
        <w:t>từ theo ngày công sang vụ việc</w:t>
      </w:r>
      <w:r>
        <w:rPr>
          <w:lang w:val="nl-NL"/>
        </w:rPr>
        <w:t xml:space="preserve"> tại Điều 3 trên cơ sở đề xuất của Bộ Y tế, Bộ Công an và các tổ chức giám định tư pháp cấp Trung ương</w:t>
      </w:r>
      <w:r w:rsidRPr="00567E8A">
        <w:rPr>
          <w:lang w:val="nl-NL"/>
        </w:rPr>
        <w:t>.</w:t>
      </w:r>
    </w:p>
    <w:p w:rsidR="003143D0" w:rsidRDefault="003143D0" w:rsidP="003143D0">
      <w:pPr>
        <w:widowControl w:val="0"/>
        <w:spacing w:line="340" w:lineRule="atLeast"/>
        <w:ind w:firstLine="720"/>
        <w:jc w:val="both"/>
        <w:rPr>
          <w:lang w:val="nl-NL"/>
        </w:rPr>
      </w:pPr>
      <w:r>
        <w:rPr>
          <w:i/>
          <w:lang w:val="nl-NL"/>
        </w:rPr>
        <w:t xml:space="preserve">- </w:t>
      </w:r>
      <w:r w:rsidRPr="003143D0">
        <w:rPr>
          <w:i/>
          <w:lang w:val="nl-NL"/>
        </w:rPr>
        <w:t>Về mức bồi dưỡng</w:t>
      </w:r>
      <w:r>
        <w:rPr>
          <w:i/>
          <w:lang w:val="nl-NL"/>
        </w:rPr>
        <w:t xml:space="preserve">: </w:t>
      </w:r>
      <w:r w:rsidRPr="00567E8A">
        <w:rPr>
          <w:lang w:val="nl-NL"/>
        </w:rPr>
        <w:t xml:space="preserve">Điều chỉnh theo hướng tăng mức bồi dưỡng </w:t>
      </w:r>
      <w:r>
        <w:rPr>
          <w:lang w:val="nl-NL"/>
        </w:rPr>
        <w:t xml:space="preserve">giám </w:t>
      </w:r>
      <w:r>
        <w:rPr>
          <w:lang w:val="nl-NL"/>
        </w:rPr>
        <w:lastRenderedPageBreak/>
        <w:t xml:space="preserve">định tư pháp </w:t>
      </w:r>
      <w:r w:rsidRPr="00567E8A">
        <w:rPr>
          <w:lang w:val="nl-NL"/>
        </w:rPr>
        <w:t>trên cơ sở mức tăng chỉ số trư</w:t>
      </w:r>
      <w:r>
        <w:rPr>
          <w:lang w:val="nl-NL"/>
        </w:rPr>
        <w:t>ợt giá tiêu dùng và lương cơ sở đối với bồi dưỡng giám định theo ngày công và vụ việc (Điều 2, Điều 3) theo chỉ đạo của Ban Chỉ đạo Trung ương về phòng, chống tham nhũng tiêu cực.</w:t>
      </w:r>
    </w:p>
    <w:p w:rsidR="003143D0" w:rsidRPr="003143D0" w:rsidRDefault="003143D0" w:rsidP="003143D0">
      <w:pPr>
        <w:widowControl w:val="0"/>
        <w:spacing w:line="340" w:lineRule="atLeast"/>
        <w:ind w:firstLine="720"/>
        <w:jc w:val="both"/>
        <w:rPr>
          <w:i/>
          <w:lang w:val="nl-NL"/>
        </w:rPr>
      </w:pPr>
      <w:r w:rsidRPr="003143D0">
        <w:rPr>
          <w:i/>
          <w:lang w:val="nl-NL"/>
        </w:rPr>
        <w:t>- Về dự toán kinh phí và thanh quyết toán chế độ bồi dưỡ</w:t>
      </w:r>
      <w:r>
        <w:rPr>
          <w:i/>
          <w:lang w:val="nl-NL"/>
        </w:rPr>
        <w:t xml:space="preserve">ng: </w:t>
      </w:r>
      <w:r w:rsidRPr="00D11BA7">
        <w:rPr>
          <w:lang w:val="nl-NL"/>
        </w:rPr>
        <w:t xml:space="preserve">Sửa đổi </w:t>
      </w:r>
      <w:r>
        <w:rPr>
          <w:lang w:val="nl-NL"/>
        </w:rPr>
        <w:t xml:space="preserve">thủ tục dự toán, cấp phát, thanh quyết toán chế độ bồi dưỡng giám định tư pháp theo hướng ngân sách nhà nước cấp thẳng, trực tiếp cho các tổ chức giám định tư pháp công lập, cơ quan, đơn vị nhà nước khác thực hiện giám định thay vì qua cơ quan trung gian là các cơ quan tiến hành tố tụng có trưng cầu giám định tư pháp như hiện nay để (1) góp phần khắc phục vướng mắc, khó khăn hiện nay về dự toán, cấp phát, thanh toán, chi trả chế độ bồi dưỡng giám định tư pháp; (2) góp phần thiết thực thực hiện cải cách hành chính về tài chính công (cải cách thủ tục trong việc dự toán, cấp phát, thanh quyết toán chế độ bồi dưỡng) cũng như bảo đảm phù hợp với nguyên tắc, quy định mới của Luật sửa đổi, bổ sung một số điều của Luật Giám định tư pháp về việc thực hiện giám định của công chức, viên chức, sĩ quan trong công an, quân đội là thực hiện công vụ và tăng cường hơn nữa vai trò, trách nhiệm của các cơ quan, đơn vị chủ quản trong việc chăm lo chế độ, chính sách đối với người làm giám định hưởng lương từ ngân sách nhà nước. </w:t>
      </w:r>
    </w:p>
    <w:p w:rsidR="003143D0" w:rsidRPr="003143D0" w:rsidRDefault="003143D0" w:rsidP="003143D0">
      <w:pPr>
        <w:spacing w:line="340" w:lineRule="atLeast"/>
        <w:jc w:val="both"/>
        <w:rPr>
          <w:i/>
          <w:lang w:val="nl-NL"/>
        </w:rPr>
      </w:pPr>
      <w:r w:rsidRPr="003143D0">
        <w:rPr>
          <w:i/>
          <w:lang w:val="nl-NL"/>
        </w:rPr>
        <w:tab/>
        <w:t>- Nội dung khác:</w:t>
      </w:r>
      <w:r>
        <w:rPr>
          <w:i/>
          <w:lang w:val="nl-NL"/>
        </w:rPr>
        <w:t xml:space="preserve"> </w:t>
      </w:r>
      <w:r>
        <w:rPr>
          <w:lang w:val="nl-NL"/>
        </w:rPr>
        <w:t>Bổ sung quy định về việc người giám định tư pháp không phải nộp thuế thu nhập cá nhân đối với tiền bồi dưỡng giám định tư pháp số tiền theo đề nghị của một số Tổ chức giám định tư pháp công lập cấp Trung ương vì đây là chính sách đãi ngộ, thu hút của Nhà nước dành cho người giám định tư pháp.</w:t>
      </w:r>
    </w:p>
    <w:p w:rsidR="001F67A9" w:rsidRPr="007D1FA6" w:rsidRDefault="00190AAB" w:rsidP="000E1BAD">
      <w:pPr>
        <w:widowControl w:val="0"/>
        <w:spacing w:line="360" w:lineRule="exact"/>
        <w:ind w:firstLine="720"/>
        <w:jc w:val="both"/>
        <w:rPr>
          <w:szCs w:val="28"/>
          <w:lang w:val="vi-VN"/>
        </w:rPr>
      </w:pPr>
      <w:r w:rsidRPr="00B97835">
        <w:rPr>
          <w:szCs w:val="28"/>
          <w:lang w:val="fi-FI"/>
        </w:rPr>
        <w:t xml:space="preserve">Trên đây là báo cáo tổng kết </w:t>
      </w:r>
      <w:r w:rsidR="00A62224">
        <w:rPr>
          <w:szCs w:val="28"/>
          <w:lang w:val="fi-FI"/>
        </w:rPr>
        <w:t>10</w:t>
      </w:r>
      <w:r w:rsidRPr="00B97835">
        <w:rPr>
          <w:szCs w:val="28"/>
          <w:lang w:val="fi-FI"/>
        </w:rPr>
        <w:t xml:space="preserve"> năm </w:t>
      </w:r>
      <w:r w:rsidR="007D1FA6">
        <w:rPr>
          <w:szCs w:val="28"/>
          <w:lang w:val="vi-VN"/>
        </w:rPr>
        <w:t>thực hiện Quyết định số 01/2014/QĐ-TTg ngày 01/01/2014 của Thủ tướng Chính phủ về chế độ bồi dưỡng giám định tư pháp</w:t>
      </w:r>
      <w:r w:rsidRPr="00B97835">
        <w:rPr>
          <w:szCs w:val="28"/>
          <w:lang w:val="fi-FI"/>
        </w:rPr>
        <w:t xml:space="preserve"> và một số định hướng sửa đổ</w:t>
      </w:r>
      <w:r w:rsidR="00A62224">
        <w:rPr>
          <w:szCs w:val="28"/>
          <w:lang w:val="fi-FI"/>
        </w:rPr>
        <w:t xml:space="preserve">i </w:t>
      </w:r>
      <w:r w:rsidRPr="00B97835">
        <w:rPr>
          <w:szCs w:val="28"/>
          <w:lang w:val="fi-FI"/>
        </w:rPr>
        <w:t>trong thời gian tới./.</w:t>
      </w:r>
    </w:p>
    <w:tbl>
      <w:tblPr>
        <w:tblW w:w="0" w:type="auto"/>
        <w:tblInd w:w="108" w:type="dxa"/>
        <w:tblLook w:val="01E0" w:firstRow="1" w:lastRow="1" w:firstColumn="1" w:lastColumn="1" w:noHBand="0" w:noVBand="0"/>
      </w:tblPr>
      <w:tblGrid>
        <w:gridCol w:w="5284"/>
        <w:gridCol w:w="3896"/>
      </w:tblGrid>
      <w:tr w:rsidR="00190AAB" w:rsidRPr="00F847CF" w:rsidTr="009777C9">
        <w:tc>
          <w:tcPr>
            <w:tcW w:w="5284" w:type="dxa"/>
          </w:tcPr>
          <w:p w:rsidR="00190AAB" w:rsidRPr="00FC536A" w:rsidRDefault="00190AAB" w:rsidP="009777C9">
            <w:pPr>
              <w:spacing w:before="0" w:after="0" w:line="240" w:lineRule="auto"/>
              <w:rPr>
                <w:b/>
                <w:i/>
                <w:color w:val="000000"/>
                <w:sz w:val="24"/>
                <w:szCs w:val="24"/>
                <w:lang w:val="nl-NL"/>
              </w:rPr>
            </w:pPr>
            <w:r w:rsidRPr="00FC536A">
              <w:rPr>
                <w:b/>
                <w:i/>
                <w:color w:val="000000"/>
                <w:sz w:val="24"/>
                <w:szCs w:val="24"/>
                <w:lang w:val="nl-NL"/>
              </w:rPr>
              <w:t xml:space="preserve">Nơi nhận:                                                      </w:t>
            </w:r>
          </w:p>
          <w:p w:rsidR="00190AAB" w:rsidRDefault="00190AAB" w:rsidP="009777C9">
            <w:pPr>
              <w:spacing w:before="0" w:after="0" w:line="240" w:lineRule="auto"/>
              <w:rPr>
                <w:color w:val="000000"/>
                <w:sz w:val="22"/>
                <w:lang w:val="nl-NL"/>
              </w:rPr>
            </w:pPr>
            <w:r>
              <w:rPr>
                <w:color w:val="000000"/>
                <w:sz w:val="22"/>
                <w:lang w:val="nl-NL"/>
              </w:rPr>
              <w:t>- Thủ tướng Chính phủ (để</w:t>
            </w:r>
            <w:r w:rsidR="00E5581B">
              <w:rPr>
                <w:color w:val="000000"/>
                <w:sz w:val="22"/>
                <w:lang w:val="nl-NL"/>
              </w:rPr>
              <w:t xml:space="preserve"> b/c);</w:t>
            </w:r>
          </w:p>
          <w:p w:rsidR="00190AAB" w:rsidRPr="00A44469" w:rsidRDefault="00190AAB" w:rsidP="009777C9">
            <w:pPr>
              <w:spacing w:before="0" w:after="0" w:line="240" w:lineRule="auto"/>
              <w:rPr>
                <w:color w:val="000000"/>
                <w:sz w:val="22"/>
                <w:lang w:val="nl-NL"/>
              </w:rPr>
            </w:pPr>
            <w:r>
              <w:rPr>
                <w:color w:val="000000"/>
                <w:sz w:val="22"/>
                <w:lang w:val="nl-NL"/>
              </w:rPr>
              <w:t>- Phó TTg</w:t>
            </w:r>
            <w:r w:rsidR="00B97835">
              <w:rPr>
                <w:color w:val="000000"/>
                <w:sz w:val="22"/>
                <w:lang w:val="nl-NL"/>
              </w:rPr>
              <w:t xml:space="preserve"> TT CP</w:t>
            </w:r>
            <w:r>
              <w:rPr>
                <w:color w:val="000000"/>
                <w:sz w:val="22"/>
                <w:lang w:val="nl-NL"/>
              </w:rPr>
              <w:t xml:space="preserve"> </w:t>
            </w:r>
            <w:r w:rsidR="00F847CF">
              <w:rPr>
                <w:color w:val="000000"/>
                <w:sz w:val="22"/>
                <w:lang w:val="nl-NL"/>
              </w:rPr>
              <w:t>Lê Thành Long</w:t>
            </w:r>
            <w:r>
              <w:rPr>
                <w:color w:val="000000"/>
                <w:sz w:val="22"/>
                <w:lang w:val="nl-NL"/>
              </w:rPr>
              <w:t xml:space="preserve"> (để b/c);</w:t>
            </w:r>
          </w:p>
          <w:p w:rsidR="00190AAB" w:rsidRPr="00D02A24" w:rsidRDefault="00B97835" w:rsidP="009777C9">
            <w:pPr>
              <w:spacing w:before="0" w:after="0" w:line="240" w:lineRule="auto"/>
              <w:rPr>
                <w:color w:val="000000"/>
                <w:sz w:val="22"/>
                <w:lang w:val="vi-VN"/>
              </w:rPr>
            </w:pPr>
            <w:r>
              <w:rPr>
                <w:color w:val="000000"/>
                <w:sz w:val="22"/>
                <w:lang w:val="nl-NL"/>
              </w:rPr>
              <w:t>- Các thành viên Chính phủ;</w:t>
            </w:r>
          </w:p>
          <w:p w:rsidR="005D2FAD" w:rsidRDefault="00190AAB" w:rsidP="009777C9">
            <w:pPr>
              <w:spacing w:before="0" w:after="0" w:line="240" w:lineRule="auto"/>
              <w:rPr>
                <w:color w:val="000000"/>
                <w:sz w:val="22"/>
                <w:lang w:val="nl-NL"/>
              </w:rPr>
            </w:pPr>
            <w:r w:rsidRPr="00A44469">
              <w:rPr>
                <w:color w:val="000000"/>
                <w:sz w:val="22"/>
                <w:lang w:val="nl-NL"/>
              </w:rPr>
              <w:t xml:space="preserve">- </w:t>
            </w:r>
            <w:r>
              <w:rPr>
                <w:color w:val="000000"/>
                <w:sz w:val="22"/>
                <w:lang w:val="nl-NL"/>
              </w:rPr>
              <w:t>Văn phòng Chính phủ</w:t>
            </w:r>
            <w:r w:rsidRPr="00A44469">
              <w:rPr>
                <w:color w:val="000000"/>
                <w:sz w:val="22"/>
                <w:lang w:val="nl-NL"/>
              </w:rPr>
              <w:t xml:space="preserve">; </w:t>
            </w:r>
          </w:p>
          <w:p w:rsidR="00190AAB" w:rsidRDefault="005D2FAD" w:rsidP="009777C9">
            <w:pPr>
              <w:spacing w:before="0" w:after="0" w:line="240" w:lineRule="auto"/>
              <w:rPr>
                <w:color w:val="000000"/>
                <w:sz w:val="22"/>
                <w:lang w:val="nl-NL"/>
              </w:rPr>
            </w:pPr>
            <w:r>
              <w:rPr>
                <w:color w:val="000000"/>
                <w:sz w:val="22"/>
                <w:lang w:val="nl-NL"/>
              </w:rPr>
              <w:t>- Bộ trưởng (để b/c);</w:t>
            </w:r>
            <w:r w:rsidR="00190AAB" w:rsidRPr="00A44469">
              <w:rPr>
                <w:color w:val="000000"/>
                <w:sz w:val="22"/>
                <w:lang w:val="nl-NL"/>
              </w:rPr>
              <w:t xml:space="preserve">                  </w:t>
            </w:r>
          </w:p>
          <w:p w:rsidR="00190AAB" w:rsidRPr="00DF0BCA" w:rsidRDefault="00190AAB" w:rsidP="009777C9">
            <w:pPr>
              <w:spacing w:before="0" w:after="0" w:line="240" w:lineRule="auto"/>
              <w:rPr>
                <w:color w:val="000000"/>
                <w:sz w:val="22"/>
                <w:lang w:val="nl-NL"/>
              </w:rPr>
            </w:pPr>
            <w:r>
              <w:rPr>
                <w:color w:val="000000"/>
                <w:sz w:val="22"/>
                <w:lang w:val="nl-NL"/>
              </w:rPr>
              <w:t>- Lưu: VT, C</w:t>
            </w:r>
            <w:r w:rsidRPr="00A44469">
              <w:rPr>
                <w:color w:val="000000"/>
                <w:sz w:val="22"/>
                <w:lang w:val="nl-NL"/>
              </w:rPr>
              <w:t>ụ</w:t>
            </w:r>
            <w:r>
              <w:rPr>
                <w:color w:val="000000"/>
                <w:sz w:val="22"/>
                <w:lang w:val="nl-NL"/>
              </w:rPr>
              <w:t>c</w:t>
            </w:r>
            <w:r w:rsidRPr="00A44469">
              <w:rPr>
                <w:color w:val="000000"/>
                <w:sz w:val="22"/>
                <w:lang w:val="nl-NL"/>
              </w:rPr>
              <w:t xml:space="preserve"> BTTP.</w:t>
            </w:r>
            <w:r>
              <w:rPr>
                <w:color w:val="000000"/>
                <w:sz w:val="22"/>
                <w:lang w:val="nl-NL"/>
              </w:rPr>
              <w:br/>
            </w:r>
          </w:p>
        </w:tc>
        <w:tc>
          <w:tcPr>
            <w:tcW w:w="3896" w:type="dxa"/>
          </w:tcPr>
          <w:p w:rsidR="00190AAB" w:rsidRDefault="005D2FAD" w:rsidP="005D2FAD">
            <w:pPr>
              <w:spacing w:before="0" w:after="0" w:line="240" w:lineRule="auto"/>
              <w:jc w:val="center"/>
              <w:rPr>
                <w:b/>
                <w:color w:val="000000"/>
                <w:lang w:val="nl-NL"/>
              </w:rPr>
            </w:pPr>
            <w:r>
              <w:rPr>
                <w:b/>
                <w:color w:val="000000"/>
                <w:lang w:val="nl-NL"/>
              </w:rPr>
              <w:t>KT.</w:t>
            </w:r>
            <w:r w:rsidR="00190AAB" w:rsidRPr="00A44469">
              <w:rPr>
                <w:b/>
                <w:color w:val="000000"/>
                <w:lang w:val="nl-NL"/>
              </w:rPr>
              <w:t xml:space="preserve"> BỘ TRƯỞNG</w:t>
            </w:r>
          </w:p>
          <w:p w:rsidR="005D2FAD" w:rsidRPr="00A44469" w:rsidRDefault="005D2FAD" w:rsidP="005D2FAD">
            <w:pPr>
              <w:spacing w:before="0" w:after="0" w:line="240" w:lineRule="auto"/>
              <w:jc w:val="center"/>
              <w:rPr>
                <w:b/>
                <w:color w:val="000000"/>
                <w:lang w:val="nl-NL"/>
              </w:rPr>
            </w:pPr>
            <w:r>
              <w:rPr>
                <w:b/>
                <w:color w:val="000000"/>
                <w:lang w:val="nl-NL"/>
              </w:rPr>
              <w:t>THỨ TRƯỞNG</w:t>
            </w:r>
          </w:p>
          <w:p w:rsidR="00190AAB" w:rsidRPr="00A44469" w:rsidRDefault="00190AAB" w:rsidP="009777C9">
            <w:pPr>
              <w:spacing w:before="0" w:after="0" w:line="288" w:lineRule="auto"/>
              <w:jc w:val="center"/>
              <w:rPr>
                <w:b/>
                <w:color w:val="000000"/>
                <w:lang w:val="nl-NL"/>
              </w:rPr>
            </w:pPr>
          </w:p>
          <w:p w:rsidR="00190AAB" w:rsidRDefault="00190AAB" w:rsidP="005D2FAD">
            <w:pPr>
              <w:spacing w:before="0" w:after="0" w:line="288" w:lineRule="auto"/>
              <w:rPr>
                <w:b/>
                <w:color w:val="000000"/>
                <w:lang w:val="nl-NL"/>
              </w:rPr>
            </w:pPr>
          </w:p>
          <w:p w:rsidR="00190AAB" w:rsidRPr="00432D56" w:rsidRDefault="00190AAB" w:rsidP="00432D56">
            <w:pPr>
              <w:spacing w:before="0" w:after="0" w:line="288" w:lineRule="auto"/>
              <w:rPr>
                <w:b/>
                <w:color w:val="000000"/>
                <w:lang w:val="vi-VN"/>
              </w:rPr>
            </w:pPr>
          </w:p>
          <w:p w:rsidR="00190AAB" w:rsidRDefault="00190AAB" w:rsidP="009777C9">
            <w:pPr>
              <w:spacing w:before="0" w:after="0" w:line="288" w:lineRule="auto"/>
              <w:jc w:val="center"/>
              <w:rPr>
                <w:b/>
                <w:color w:val="000000"/>
                <w:lang w:val="nl-NL"/>
              </w:rPr>
            </w:pPr>
          </w:p>
          <w:p w:rsidR="00190AAB" w:rsidRPr="00160625" w:rsidRDefault="00A62224" w:rsidP="009777C9">
            <w:pPr>
              <w:spacing w:before="0" w:after="0" w:line="288" w:lineRule="auto"/>
              <w:jc w:val="center"/>
              <w:rPr>
                <w:b/>
                <w:color w:val="000000"/>
                <w:lang w:val="nl-NL"/>
              </w:rPr>
            </w:pPr>
            <w:r w:rsidRPr="00160625">
              <w:rPr>
                <w:b/>
                <w:color w:val="000000"/>
                <w:lang w:val="nl-NL"/>
              </w:rPr>
              <w:t>Mai Lương Khôi</w:t>
            </w:r>
          </w:p>
        </w:tc>
      </w:tr>
    </w:tbl>
    <w:p w:rsidR="001F67A9" w:rsidRPr="005005D0" w:rsidRDefault="001F67A9" w:rsidP="009A6FAA">
      <w:pPr>
        <w:spacing w:before="0" w:after="0" w:line="240" w:lineRule="auto"/>
        <w:rPr>
          <w:lang w:val="vi-VN"/>
        </w:rPr>
      </w:pPr>
    </w:p>
    <w:sectPr w:rsidR="001F67A9" w:rsidRPr="005005D0" w:rsidSect="00384817">
      <w:footerReference w:type="default" r:id="rId9"/>
      <w:pgSz w:w="11907" w:h="16840" w:code="9"/>
      <w:pgMar w:top="1134" w:right="1134" w:bottom="1134" w:left="1701" w:header="720" w:footer="1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6DF" w:rsidRDefault="006A06DF" w:rsidP="00190AAB">
      <w:pPr>
        <w:spacing w:before="0" w:after="0" w:line="240" w:lineRule="auto"/>
      </w:pPr>
      <w:r>
        <w:separator/>
      </w:r>
    </w:p>
  </w:endnote>
  <w:endnote w:type="continuationSeparator" w:id="0">
    <w:p w:rsidR="006A06DF" w:rsidRDefault="006A06DF" w:rsidP="00190AA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0624392"/>
      <w:docPartObj>
        <w:docPartGallery w:val="Page Numbers (Bottom of Page)"/>
        <w:docPartUnique/>
      </w:docPartObj>
    </w:sdtPr>
    <w:sdtEndPr>
      <w:rPr>
        <w:noProof/>
      </w:rPr>
    </w:sdtEndPr>
    <w:sdtContent>
      <w:p w:rsidR="009C0E20" w:rsidRDefault="002057EF">
        <w:pPr>
          <w:pStyle w:val="Footer"/>
          <w:jc w:val="center"/>
        </w:pPr>
        <w:r>
          <w:fldChar w:fldCharType="begin"/>
        </w:r>
        <w:r>
          <w:instrText xml:space="preserve"> PAGE   \* MERGEFORMAT </w:instrText>
        </w:r>
        <w:r>
          <w:fldChar w:fldCharType="separate"/>
        </w:r>
        <w:r w:rsidR="00F847CF">
          <w:rPr>
            <w:noProof/>
          </w:rPr>
          <w:t>3</w:t>
        </w:r>
        <w:r>
          <w:rPr>
            <w:noProof/>
          </w:rPr>
          <w:fldChar w:fldCharType="end"/>
        </w:r>
      </w:p>
    </w:sdtContent>
  </w:sdt>
  <w:p w:rsidR="009C0E20" w:rsidRDefault="006A06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6DF" w:rsidRDefault="006A06DF" w:rsidP="00190AAB">
      <w:pPr>
        <w:spacing w:before="0" w:after="0" w:line="240" w:lineRule="auto"/>
      </w:pPr>
      <w:r>
        <w:separator/>
      </w:r>
    </w:p>
  </w:footnote>
  <w:footnote w:type="continuationSeparator" w:id="0">
    <w:p w:rsidR="006A06DF" w:rsidRDefault="006A06DF" w:rsidP="00190AAB">
      <w:pPr>
        <w:spacing w:before="0" w:after="0" w:line="240" w:lineRule="auto"/>
      </w:pPr>
      <w:r>
        <w:continuationSeparator/>
      </w:r>
    </w:p>
  </w:footnote>
  <w:footnote w:id="1">
    <w:p w:rsidR="005D6A83" w:rsidRDefault="005D6A83" w:rsidP="005D6A83">
      <w:pPr>
        <w:pStyle w:val="FootnoteText"/>
      </w:pPr>
      <w:r>
        <w:rPr>
          <w:rStyle w:val="FootnoteReference"/>
        </w:rPr>
        <w:footnoteRef/>
      </w:r>
      <w:r>
        <w:t xml:space="preserve"> Công văn số 5099/BNV-PC ngày 21/10/2019 của Bộ Nội vụ.</w:t>
      </w:r>
    </w:p>
  </w:footnote>
  <w:footnote w:id="2">
    <w:p w:rsidR="005D6A83" w:rsidRDefault="005D6A83" w:rsidP="005D6A83">
      <w:pPr>
        <w:pStyle w:val="FootnoteText"/>
        <w:jc w:val="both"/>
      </w:pPr>
      <w:r>
        <w:rPr>
          <w:rStyle w:val="FootnoteReference"/>
        </w:rPr>
        <w:footnoteRef/>
      </w:r>
      <w:r>
        <w:t xml:space="preserve"> </w:t>
      </w:r>
      <w:r w:rsidRPr="006C0274">
        <w:rPr>
          <w:bCs/>
          <w:lang w:val="nl-NL"/>
        </w:rPr>
        <w:t>Công văn số 8476/VPCP-KTTH ngày 06/9/2018 thông báo ý kiến của Thủ tướng Chính phủ về việc triển khai Nghị quyết số 27-NQ/TW: “Từ nay đến khi ban hành các văn bản quy định chế độ tiền lương mới để thực hiện Nghị quyết số 27-NQ/TW, không xem xét ban hành mới hoặc sửa đổi, bổ sung các chế độ, chính sách tiền lương hiện hành”.</w:t>
      </w:r>
    </w:p>
  </w:footnote>
  <w:footnote w:id="3">
    <w:p w:rsidR="003143D0" w:rsidRDefault="003143D0" w:rsidP="003143D0">
      <w:pPr>
        <w:pStyle w:val="FootnoteText"/>
        <w:jc w:val="both"/>
      </w:pPr>
      <w:r>
        <w:rPr>
          <w:rStyle w:val="FootnoteReference"/>
        </w:rPr>
        <w:footnoteRef/>
      </w:r>
      <w:r>
        <w:t xml:space="preserve"> Báo cáo tổng kết của 1</w:t>
      </w:r>
      <w:r>
        <w:rPr>
          <w:color w:val="000000"/>
          <w:szCs w:val="28"/>
          <w:lang w:val="vi-VN"/>
        </w:rPr>
        <w:t>0 Bộ, ngành và 45 Ủy ban nhân dân tỉnh, thành phố trực thuộc Trung ương</w:t>
      </w:r>
      <w:r w:rsidRPr="005D6A83">
        <w:rPr>
          <w:color w:val="000000"/>
          <w:szCs w:val="28"/>
          <w:lang w:val="nl-NL"/>
        </w:rPr>
        <w:t xml:space="preserve"> và 14 văn bản rà soát</w:t>
      </w:r>
      <w:r>
        <w:rPr>
          <w:color w:val="000000"/>
          <w:szCs w:val="28"/>
          <w:lang w:val="nl-NL"/>
        </w:rPr>
        <w:t>, đề xuất của Bộ, ngành, tổ chức giám định tư pháp công lập ở Trung ương.</w:t>
      </w:r>
    </w:p>
  </w:footnote>
  <w:footnote w:id="4">
    <w:p w:rsidR="009F7381" w:rsidRPr="009F7381" w:rsidRDefault="009F7381">
      <w:pPr>
        <w:pStyle w:val="FootnoteText"/>
        <w:rPr>
          <w:lang w:val="vi-VN"/>
        </w:rPr>
      </w:pPr>
      <w:r>
        <w:rPr>
          <w:rStyle w:val="FootnoteReference"/>
        </w:rPr>
        <w:footnoteRef/>
      </w:r>
      <w:r>
        <w:t xml:space="preserve"> </w:t>
      </w:r>
      <w:r>
        <w:rPr>
          <w:lang w:val="vi-VN"/>
        </w:rPr>
        <w:t>Theo Báo cáo số 10885/BTC-HCSN ngày 07/9/2018 của Bộ Tài chính, kinh phí bồi dưỡng giám định tư pháp được cấp cho Bộ Công an từng năm như sau:</w:t>
      </w:r>
      <w:r w:rsidRPr="009F7381">
        <w:rPr>
          <w:szCs w:val="26"/>
          <w:lang w:val="vi-VN"/>
        </w:rPr>
        <w:t xml:space="preserve"> </w:t>
      </w:r>
      <w:r>
        <w:rPr>
          <w:szCs w:val="26"/>
          <w:lang w:val="vi-VN"/>
        </w:rPr>
        <w:t>Năm 2014: 350 tỷ đồng; năm 2015: 400 tỷ đồng; năm 2016: 350 tỷ đồng; năm 2017: 320 tỷ đồng và năm 2018: 330 tỷ đồng.</w:t>
      </w:r>
    </w:p>
  </w:footnote>
  <w:footnote w:id="5">
    <w:p w:rsidR="004E7270" w:rsidRPr="004E7270" w:rsidRDefault="004E7270">
      <w:pPr>
        <w:pStyle w:val="FootnoteText"/>
        <w:rPr>
          <w:lang w:val="vi-VN"/>
        </w:rPr>
      </w:pPr>
      <w:r w:rsidRPr="00F847CF">
        <w:rPr>
          <w:rStyle w:val="FootnoteReference"/>
        </w:rPr>
        <w:footnoteRef/>
      </w:r>
      <w:r w:rsidRPr="00F847CF">
        <w:rPr>
          <w:lang w:val="vi-VN"/>
        </w:rPr>
        <w:t xml:space="preserve"> Báo cáo số 43/BCA-C09 ngày 04/01/2024 của Bộ Công an.</w:t>
      </w:r>
    </w:p>
  </w:footnote>
  <w:footnote w:id="6">
    <w:p w:rsidR="00F87183" w:rsidRPr="00F87183" w:rsidRDefault="00F87183">
      <w:pPr>
        <w:pStyle w:val="FootnoteText"/>
        <w:rPr>
          <w:lang w:val="vi-VN"/>
        </w:rPr>
      </w:pPr>
      <w:r>
        <w:rPr>
          <w:rStyle w:val="FootnoteReference"/>
        </w:rPr>
        <w:footnoteRef/>
      </w:r>
      <w:r w:rsidRPr="00F87183">
        <w:rPr>
          <w:lang w:val="vi-VN"/>
        </w:rPr>
        <w:t xml:space="preserve"> </w:t>
      </w:r>
      <w:r>
        <w:rPr>
          <w:szCs w:val="26"/>
          <w:lang w:val="vi-VN"/>
        </w:rPr>
        <w:t>Luật Ngân sách nhà nước, Luật Giám định tư pháp, Quyết định số 01/2014/QĐ-TTg ngày 01/01/2014 của Thủ tướng Chính phủ và Thông tư số 137/2014/TT-BTC ngày 18/9/2014 của Bộ Tài chính.</w:t>
      </w:r>
    </w:p>
  </w:footnote>
  <w:footnote w:id="7">
    <w:p w:rsidR="00CD4E4D" w:rsidRDefault="00CD4E4D" w:rsidP="00CD4E4D">
      <w:pPr>
        <w:pStyle w:val="FootnoteText"/>
        <w:jc w:val="both"/>
        <w:rPr>
          <w:lang w:val="vi-VN"/>
        </w:rPr>
      </w:pPr>
      <w:r>
        <w:rPr>
          <w:rStyle w:val="FootnoteReference"/>
        </w:rPr>
        <w:footnoteRef/>
      </w:r>
      <w:r w:rsidRPr="00CD4E4D">
        <w:rPr>
          <w:lang w:val="vi-VN"/>
        </w:rPr>
        <w:t xml:space="preserve"> </w:t>
      </w:r>
      <w:r>
        <w:rPr>
          <w:lang w:val="vi-VN"/>
        </w:rPr>
        <w:t>Kinh phí chi quản lý hành chính của Tòa án nhân dân tối cao (Tòa án nhân tối cao chi từ kinh phí xét xử): Năm 2014: 2.335,9 tỷ đồng; Năm 2015: 2.094,821 tỷ đồng; Năm 2016: 2.871,66 tỷ đồng; Năm 2017: 3.225,115 tỷ đồng; Năm 2018: 3.229,980 tỷ đồng.</w:t>
      </w:r>
    </w:p>
    <w:p w:rsidR="00CD4E4D" w:rsidRPr="00CD4E4D" w:rsidRDefault="00CD4E4D" w:rsidP="00CD4E4D">
      <w:pPr>
        <w:pStyle w:val="FootnoteText"/>
        <w:jc w:val="both"/>
        <w:rPr>
          <w:lang w:val="vi-VN"/>
        </w:rPr>
      </w:pPr>
      <w:r>
        <w:rPr>
          <w:lang w:val="vi-VN"/>
        </w:rPr>
        <w:t xml:space="preserve">  Kinh phí chi quản lý hành chính của Viện kiểm sát nhân dân tối cao: Năm 2014: 2.567,38 tỷ đồng; Năm 2015: 2.707,771 tỷ đồng; Năm 2016: 2.837,840 tỷ đồng; Năm 2017: 2.973,010 tỷ đồng; Năm 2018: 2.986,080 tỷ đồng.</w:t>
      </w:r>
    </w:p>
  </w:footnote>
  <w:footnote w:id="8">
    <w:p w:rsidR="00335EF9" w:rsidRPr="00335EF9" w:rsidRDefault="00335EF9" w:rsidP="00335EF9">
      <w:pPr>
        <w:pStyle w:val="FootnoteText"/>
        <w:jc w:val="both"/>
        <w:rPr>
          <w:lang w:val="vi-VN"/>
        </w:rPr>
      </w:pPr>
      <w:r>
        <w:rPr>
          <w:rStyle w:val="FootnoteReference"/>
        </w:rPr>
        <w:footnoteRef/>
      </w:r>
      <w:r w:rsidRPr="00335EF9">
        <w:rPr>
          <w:lang w:val="vi-VN"/>
        </w:rPr>
        <w:t xml:space="preserve"> </w:t>
      </w:r>
      <w:r>
        <w:rPr>
          <w:lang w:val="vi-VN"/>
        </w:rPr>
        <w:t>Báo cáo số 2809/VKSTC-V14 ngày 04/7/2018 của Viện kiểm sát nhân dân tối cao về việc tổng kết, báo cáo tình hình thực hiện chế độ bồi dưỡng giám định tư pháp.</w:t>
      </w:r>
    </w:p>
  </w:footnote>
  <w:footnote w:id="9">
    <w:p w:rsidR="00CB4407" w:rsidRPr="00CB4407" w:rsidRDefault="00CB4407">
      <w:pPr>
        <w:pStyle w:val="FootnoteText"/>
        <w:rPr>
          <w:lang w:val="vi-VN"/>
        </w:rPr>
      </w:pPr>
      <w:r>
        <w:rPr>
          <w:rStyle w:val="FootnoteReference"/>
        </w:rPr>
        <w:footnoteRef/>
      </w:r>
      <w:r w:rsidRPr="00CB4407">
        <w:rPr>
          <w:lang w:val="vi-VN"/>
        </w:rPr>
        <w:t xml:space="preserve"> Theo Công văn số 323/TCTK-TKG ngày 04/3/2024 của Tổng cục Thống kê về cung cấp chỉ số giá tiêu dùng.</w:t>
      </w:r>
    </w:p>
  </w:footnote>
  <w:footnote w:id="10">
    <w:p w:rsidR="00CB4407" w:rsidRPr="00CB4407" w:rsidRDefault="00CB4407">
      <w:pPr>
        <w:pStyle w:val="FootnoteText"/>
        <w:rPr>
          <w:lang w:val="vi-VN"/>
        </w:rPr>
      </w:pPr>
      <w:r>
        <w:rPr>
          <w:rStyle w:val="FootnoteReference"/>
        </w:rPr>
        <w:footnoteRef/>
      </w:r>
      <w:r w:rsidRPr="00CB4407">
        <w:rPr>
          <w:lang w:val="vi-VN"/>
        </w:rPr>
        <w:t xml:space="preserve"> </w:t>
      </w:r>
      <w:r>
        <w:rPr>
          <w:lang w:val="vi-VN"/>
        </w:rPr>
        <w:t>Mức lương cơ sở năm 2014 là 1.150.000 đồng/tháng; mức lương cơ sở năm</w:t>
      </w:r>
      <w:r w:rsidRPr="00CB4407">
        <w:rPr>
          <w:lang w:val="vi-VN"/>
        </w:rPr>
        <w:t xml:space="preserve"> 2023 là 1.800.000 đồng/tháng.</w:t>
      </w:r>
    </w:p>
  </w:footnote>
  <w:footnote w:id="11">
    <w:p w:rsidR="00885CB1" w:rsidRPr="00885CB1" w:rsidRDefault="00885CB1" w:rsidP="00885CB1">
      <w:pPr>
        <w:pStyle w:val="FootnoteText"/>
        <w:jc w:val="both"/>
        <w:rPr>
          <w:lang w:val="vi-VN"/>
        </w:rPr>
      </w:pPr>
      <w:r>
        <w:rPr>
          <w:rStyle w:val="FootnoteReference"/>
        </w:rPr>
        <w:footnoteRef/>
      </w:r>
      <w:r w:rsidRPr="00885CB1">
        <w:rPr>
          <w:lang w:val="vi-VN"/>
        </w:rPr>
        <w:t xml:space="preserve"> </w:t>
      </w:r>
      <w:r>
        <w:rPr>
          <w:lang w:val="vi-VN"/>
        </w:rPr>
        <w:t>Theo Báo cáo số 1643/BXD-PC ngày 05/7/2018 của Bộ Xây dựng về việc đánh giá thực tiễn công tác giám định tư pháp xây dựng và chế độ bồi dưỡng giám định tư pháp trong lĩnh vực xây dựng.</w:t>
      </w:r>
    </w:p>
  </w:footnote>
  <w:footnote w:id="12">
    <w:p w:rsidR="00F46647" w:rsidRPr="00F46647" w:rsidRDefault="00F46647" w:rsidP="00F46647">
      <w:pPr>
        <w:pStyle w:val="FootnoteText"/>
        <w:jc w:val="both"/>
        <w:rPr>
          <w:lang w:val="vi-VN"/>
        </w:rPr>
      </w:pPr>
      <w:r>
        <w:rPr>
          <w:rStyle w:val="FootnoteReference"/>
        </w:rPr>
        <w:footnoteRef/>
      </w:r>
      <w:r w:rsidRPr="00F46647">
        <w:rPr>
          <w:lang w:val="vi-VN"/>
        </w:rPr>
        <w:t xml:space="preserve"> </w:t>
      </w:r>
      <w:r>
        <w:rPr>
          <w:lang w:val="vi-VN"/>
        </w:rPr>
        <w:t>Công văn số 375/VP4 ngày 25/6/2015 của Văn phòng Cơ quan thanh tra, giám sát ngân hàng có xác nhận không có kinh phí để thanh toán các khoản chi phí giám định tư pháp của Cơ quan Cảnh sát điều tra, Bộ Công 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0615A"/>
    <w:multiLevelType w:val="hybridMultilevel"/>
    <w:tmpl w:val="C496410E"/>
    <w:lvl w:ilvl="0" w:tplc="63563DFE">
      <w:start w:val="1"/>
      <w:numFmt w:val="decimal"/>
      <w:lvlText w:val="(%1)"/>
      <w:lvlJc w:val="left"/>
      <w:pPr>
        <w:ind w:left="1125" w:hanging="40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73ED2997"/>
    <w:multiLevelType w:val="hybridMultilevel"/>
    <w:tmpl w:val="935A5F5E"/>
    <w:lvl w:ilvl="0" w:tplc="A380F884">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AAB"/>
    <w:rsid w:val="00015727"/>
    <w:rsid w:val="00015C18"/>
    <w:rsid w:val="00025E1B"/>
    <w:rsid w:val="00031B33"/>
    <w:rsid w:val="00045E7B"/>
    <w:rsid w:val="00060BCC"/>
    <w:rsid w:val="00066CEC"/>
    <w:rsid w:val="00075B75"/>
    <w:rsid w:val="0007749E"/>
    <w:rsid w:val="00081A72"/>
    <w:rsid w:val="000C23B7"/>
    <w:rsid w:val="000C3FE4"/>
    <w:rsid w:val="000C5B10"/>
    <w:rsid w:val="000D0B89"/>
    <w:rsid w:val="000E0878"/>
    <w:rsid w:val="000E1BAD"/>
    <w:rsid w:val="000F5788"/>
    <w:rsid w:val="0010114C"/>
    <w:rsid w:val="00104AA3"/>
    <w:rsid w:val="001236F0"/>
    <w:rsid w:val="00124D50"/>
    <w:rsid w:val="00127973"/>
    <w:rsid w:val="00140516"/>
    <w:rsid w:val="001461ED"/>
    <w:rsid w:val="00153892"/>
    <w:rsid w:val="00160625"/>
    <w:rsid w:val="00160A45"/>
    <w:rsid w:val="00166636"/>
    <w:rsid w:val="00167432"/>
    <w:rsid w:val="001726A3"/>
    <w:rsid w:val="001855F9"/>
    <w:rsid w:val="00190AAB"/>
    <w:rsid w:val="001B079D"/>
    <w:rsid w:val="001B2D81"/>
    <w:rsid w:val="001B651B"/>
    <w:rsid w:val="001C095B"/>
    <w:rsid w:val="001F67A9"/>
    <w:rsid w:val="002057EF"/>
    <w:rsid w:val="00224FF7"/>
    <w:rsid w:val="00230E0A"/>
    <w:rsid w:val="00234D6A"/>
    <w:rsid w:val="00244F48"/>
    <w:rsid w:val="00267D4E"/>
    <w:rsid w:val="00267F03"/>
    <w:rsid w:val="002722F5"/>
    <w:rsid w:val="00285070"/>
    <w:rsid w:val="002862BA"/>
    <w:rsid w:val="00286A35"/>
    <w:rsid w:val="002922D1"/>
    <w:rsid w:val="00293423"/>
    <w:rsid w:val="002A3163"/>
    <w:rsid w:val="002B32EB"/>
    <w:rsid w:val="002D05F1"/>
    <w:rsid w:val="002D2DAD"/>
    <w:rsid w:val="002D696D"/>
    <w:rsid w:val="002D7B7A"/>
    <w:rsid w:val="002E7675"/>
    <w:rsid w:val="002E7AA6"/>
    <w:rsid w:val="00310A41"/>
    <w:rsid w:val="003143D0"/>
    <w:rsid w:val="00323D0A"/>
    <w:rsid w:val="00325D43"/>
    <w:rsid w:val="00331926"/>
    <w:rsid w:val="00332A50"/>
    <w:rsid w:val="00335EF9"/>
    <w:rsid w:val="0034199C"/>
    <w:rsid w:val="00352AA6"/>
    <w:rsid w:val="00384817"/>
    <w:rsid w:val="00392948"/>
    <w:rsid w:val="003A1C14"/>
    <w:rsid w:val="003A3AA7"/>
    <w:rsid w:val="003A5DBE"/>
    <w:rsid w:val="003B485D"/>
    <w:rsid w:val="003C10BE"/>
    <w:rsid w:val="003C3832"/>
    <w:rsid w:val="003C5F24"/>
    <w:rsid w:val="003D39DA"/>
    <w:rsid w:val="003D5E2E"/>
    <w:rsid w:val="003F580D"/>
    <w:rsid w:val="0040398B"/>
    <w:rsid w:val="004205FD"/>
    <w:rsid w:val="00420AC9"/>
    <w:rsid w:val="00422D78"/>
    <w:rsid w:val="004322D8"/>
    <w:rsid w:val="00432D56"/>
    <w:rsid w:val="004365E3"/>
    <w:rsid w:val="00452256"/>
    <w:rsid w:val="004558D1"/>
    <w:rsid w:val="00467DD5"/>
    <w:rsid w:val="00480972"/>
    <w:rsid w:val="00481CFE"/>
    <w:rsid w:val="004A2A6D"/>
    <w:rsid w:val="004B763F"/>
    <w:rsid w:val="004C033B"/>
    <w:rsid w:val="004D494A"/>
    <w:rsid w:val="004E47A6"/>
    <w:rsid w:val="004E5631"/>
    <w:rsid w:val="004E7270"/>
    <w:rsid w:val="005005D0"/>
    <w:rsid w:val="0050747D"/>
    <w:rsid w:val="00536BE1"/>
    <w:rsid w:val="00537485"/>
    <w:rsid w:val="00561147"/>
    <w:rsid w:val="00565819"/>
    <w:rsid w:val="005711C4"/>
    <w:rsid w:val="00571782"/>
    <w:rsid w:val="00594502"/>
    <w:rsid w:val="005A4DFF"/>
    <w:rsid w:val="005A7480"/>
    <w:rsid w:val="005B4545"/>
    <w:rsid w:val="005B6D29"/>
    <w:rsid w:val="005D2FAD"/>
    <w:rsid w:val="005D439F"/>
    <w:rsid w:val="005D6A83"/>
    <w:rsid w:val="005F17C2"/>
    <w:rsid w:val="005F20BA"/>
    <w:rsid w:val="00606271"/>
    <w:rsid w:val="00616D50"/>
    <w:rsid w:val="00621722"/>
    <w:rsid w:val="00627966"/>
    <w:rsid w:val="00644180"/>
    <w:rsid w:val="006442D0"/>
    <w:rsid w:val="00652535"/>
    <w:rsid w:val="0065374F"/>
    <w:rsid w:val="00664922"/>
    <w:rsid w:val="0069596C"/>
    <w:rsid w:val="006A06DF"/>
    <w:rsid w:val="006B076F"/>
    <w:rsid w:val="006B5F30"/>
    <w:rsid w:val="006C00F5"/>
    <w:rsid w:val="006C16E6"/>
    <w:rsid w:val="006D0255"/>
    <w:rsid w:val="006E76F1"/>
    <w:rsid w:val="007148DB"/>
    <w:rsid w:val="007248F3"/>
    <w:rsid w:val="0074340F"/>
    <w:rsid w:val="0074767F"/>
    <w:rsid w:val="00752D97"/>
    <w:rsid w:val="007918B3"/>
    <w:rsid w:val="00797BA9"/>
    <w:rsid w:val="007A1B59"/>
    <w:rsid w:val="007B0F31"/>
    <w:rsid w:val="007D1FA6"/>
    <w:rsid w:val="007D54E8"/>
    <w:rsid w:val="007F54F1"/>
    <w:rsid w:val="00802726"/>
    <w:rsid w:val="00807BB4"/>
    <w:rsid w:val="00836408"/>
    <w:rsid w:val="00853B74"/>
    <w:rsid w:val="0085709F"/>
    <w:rsid w:val="00874FCC"/>
    <w:rsid w:val="008766BE"/>
    <w:rsid w:val="00885CB1"/>
    <w:rsid w:val="008A184D"/>
    <w:rsid w:val="008B7B93"/>
    <w:rsid w:val="008C41EF"/>
    <w:rsid w:val="008D200E"/>
    <w:rsid w:val="00904812"/>
    <w:rsid w:val="0091002C"/>
    <w:rsid w:val="00915DC1"/>
    <w:rsid w:val="00920DFA"/>
    <w:rsid w:val="009262AE"/>
    <w:rsid w:val="00930B89"/>
    <w:rsid w:val="0094394A"/>
    <w:rsid w:val="00964737"/>
    <w:rsid w:val="009745A6"/>
    <w:rsid w:val="0098136B"/>
    <w:rsid w:val="009A6FAA"/>
    <w:rsid w:val="009A7365"/>
    <w:rsid w:val="009E2079"/>
    <w:rsid w:val="009E643C"/>
    <w:rsid w:val="009F1235"/>
    <w:rsid w:val="009F1B35"/>
    <w:rsid w:val="009F7381"/>
    <w:rsid w:val="009F7D89"/>
    <w:rsid w:val="009F7DE8"/>
    <w:rsid w:val="00A15242"/>
    <w:rsid w:val="00A163ED"/>
    <w:rsid w:val="00A26E1C"/>
    <w:rsid w:val="00A32AE7"/>
    <w:rsid w:val="00A33023"/>
    <w:rsid w:val="00A414E3"/>
    <w:rsid w:val="00A4453C"/>
    <w:rsid w:val="00A50207"/>
    <w:rsid w:val="00A556B8"/>
    <w:rsid w:val="00A62224"/>
    <w:rsid w:val="00A91F8C"/>
    <w:rsid w:val="00AA3314"/>
    <w:rsid w:val="00AA3342"/>
    <w:rsid w:val="00AC01EB"/>
    <w:rsid w:val="00AC3AFF"/>
    <w:rsid w:val="00AC41C0"/>
    <w:rsid w:val="00AD1FBD"/>
    <w:rsid w:val="00AD45BE"/>
    <w:rsid w:val="00AD5303"/>
    <w:rsid w:val="00AE2739"/>
    <w:rsid w:val="00AE4D0A"/>
    <w:rsid w:val="00AE6DAA"/>
    <w:rsid w:val="00AE77D5"/>
    <w:rsid w:val="00AF43DD"/>
    <w:rsid w:val="00B0065A"/>
    <w:rsid w:val="00B22B2D"/>
    <w:rsid w:val="00B425BE"/>
    <w:rsid w:val="00B47C1C"/>
    <w:rsid w:val="00B67D14"/>
    <w:rsid w:val="00B71F02"/>
    <w:rsid w:val="00B726DE"/>
    <w:rsid w:val="00B97835"/>
    <w:rsid w:val="00BB1B70"/>
    <w:rsid w:val="00BB60CC"/>
    <w:rsid w:val="00BC1E09"/>
    <w:rsid w:val="00BC2E41"/>
    <w:rsid w:val="00BC52D4"/>
    <w:rsid w:val="00BE0C9C"/>
    <w:rsid w:val="00BF2973"/>
    <w:rsid w:val="00BF535F"/>
    <w:rsid w:val="00C0314D"/>
    <w:rsid w:val="00C107F1"/>
    <w:rsid w:val="00C25123"/>
    <w:rsid w:val="00C400B0"/>
    <w:rsid w:val="00C71AF5"/>
    <w:rsid w:val="00C72610"/>
    <w:rsid w:val="00C7652C"/>
    <w:rsid w:val="00C82B78"/>
    <w:rsid w:val="00C9208F"/>
    <w:rsid w:val="00CB2201"/>
    <w:rsid w:val="00CB4407"/>
    <w:rsid w:val="00CC5A5C"/>
    <w:rsid w:val="00CD0D31"/>
    <w:rsid w:val="00CD4E4D"/>
    <w:rsid w:val="00CE2923"/>
    <w:rsid w:val="00CF26F8"/>
    <w:rsid w:val="00D02A24"/>
    <w:rsid w:val="00D059A2"/>
    <w:rsid w:val="00D155A1"/>
    <w:rsid w:val="00D25399"/>
    <w:rsid w:val="00D32AE5"/>
    <w:rsid w:val="00D33B47"/>
    <w:rsid w:val="00D4243B"/>
    <w:rsid w:val="00D44FC2"/>
    <w:rsid w:val="00D540FC"/>
    <w:rsid w:val="00D63219"/>
    <w:rsid w:val="00D64CFF"/>
    <w:rsid w:val="00D83980"/>
    <w:rsid w:val="00D97432"/>
    <w:rsid w:val="00DB29CA"/>
    <w:rsid w:val="00DC7689"/>
    <w:rsid w:val="00E006F5"/>
    <w:rsid w:val="00E149F9"/>
    <w:rsid w:val="00E169A5"/>
    <w:rsid w:val="00E24D7E"/>
    <w:rsid w:val="00E410E1"/>
    <w:rsid w:val="00E534EF"/>
    <w:rsid w:val="00E5581B"/>
    <w:rsid w:val="00E61387"/>
    <w:rsid w:val="00E61F49"/>
    <w:rsid w:val="00E90A95"/>
    <w:rsid w:val="00E93EFB"/>
    <w:rsid w:val="00E94748"/>
    <w:rsid w:val="00EA294F"/>
    <w:rsid w:val="00EC0806"/>
    <w:rsid w:val="00ED39CF"/>
    <w:rsid w:val="00EE0FB4"/>
    <w:rsid w:val="00EE6459"/>
    <w:rsid w:val="00EF69E0"/>
    <w:rsid w:val="00F17A4D"/>
    <w:rsid w:val="00F22CD5"/>
    <w:rsid w:val="00F37E12"/>
    <w:rsid w:val="00F439D7"/>
    <w:rsid w:val="00F46647"/>
    <w:rsid w:val="00F55573"/>
    <w:rsid w:val="00F60809"/>
    <w:rsid w:val="00F74CB9"/>
    <w:rsid w:val="00F83EB9"/>
    <w:rsid w:val="00F847CF"/>
    <w:rsid w:val="00F87183"/>
    <w:rsid w:val="00F94772"/>
    <w:rsid w:val="00FA1676"/>
    <w:rsid w:val="00FB7278"/>
    <w:rsid w:val="00FC46CC"/>
    <w:rsid w:val="00FC7222"/>
    <w:rsid w:val="00FE3554"/>
    <w:rsid w:val="00FE4CBB"/>
    <w:rsid w:val="00FF10D6"/>
    <w:rsid w:val="00FF1B50"/>
    <w:rsid w:val="00FF7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0AAB"/>
    <w:pPr>
      <w:ind w:left="720"/>
      <w:contextualSpacing/>
    </w:pPr>
  </w:style>
  <w:style w:type="character" w:styleId="Strong">
    <w:name w:val="Strong"/>
    <w:basedOn w:val="DefaultParagraphFont"/>
    <w:qFormat/>
    <w:rsid w:val="00190AAB"/>
    <w:rPr>
      <w:b/>
      <w:bCs/>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10 "/>
    <w:basedOn w:val="DefaultParagraphFont"/>
    <w:link w:val="RefChar"/>
    <w:uiPriority w:val="99"/>
    <w:unhideWhenUsed/>
    <w:qFormat/>
    <w:rsid w:val="00190AAB"/>
    <w:rPr>
      <w:vertAlign w:val="superscript"/>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
    <w:basedOn w:val="Normal"/>
    <w:link w:val="FootnoteTextChar"/>
    <w:uiPriority w:val="99"/>
    <w:unhideWhenUsed/>
    <w:qFormat/>
    <w:rsid w:val="00190AAB"/>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190AAB"/>
    <w:rPr>
      <w:sz w:val="20"/>
      <w:szCs w:val="20"/>
    </w:rPr>
  </w:style>
  <w:style w:type="paragraph" w:styleId="Footer">
    <w:name w:val="footer"/>
    <w:basedOn w:val="Normal"/>
    <w:link w:val="FooterChar"/>
    <w:uiPriority w:val="99"/>
    <w:unhideWhenUsed/>
    <w:rsid w:val="00190AA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90AAB"/>
  </w:style>
  <w:style w:type="paragraph" w:styleId="NormalWeb">
    <w:name w:val="Normal (Web)"/>
    <w:basedOn w:val="Normal"/>
    <w:uiPriority w:val="99"/>
    <w:rsid w:val="00190AAB"/>
    <w:pPr>
      <w:spacing w:before="100" w:beforeAutospacing="1" w:after="100" w:afterAutospacing="1" w:line="240" w:lineRule="auto"/>
    </w:pPr>
    <w:rPr>
      <w:rFonts w:eastAsia="Calibri" w:cs="Times New Roman"/>
      <w:sz w:val="24"/>
      <w:szCs w:val="24"/>
    </w:rPr>
  </w:style>
  <w:style w:type="paragraph" w:styleId="BodyText">
    <w:name w:val="Body Text"/>
    <w:aliases w:val="1tenchuong"/>
    <w:basedOn w:val="Normal"/>
    <w:link w:val="BodyTextChar"/>
    <w:rsid w:val="00190AAB"/>
    <w:pPr>
      <w:spacing w:before="0" w:after="0" w:line="240" w:lineRule="auto"/>
      <w:ind w:right="-71"/>
    </w:pPr>
    <w:rPr>
      <w:rFonts w:ascii=".VnTime" w:eastAsia="Calibri" w:hAnsi=".VnTime" w:cs="Times New Roman"/>
      <w:szCs w:val="24"/>
      <w:lang w:val="x-none" w:eastAsia="x-none"/>
    </w:rPr>
  </w:style>
  <w:style w:type="character" w:customStyle="1" w:styleId="BodyTextChar">
    <w:name w:val="Body Text Char"/>
    <w:aliases w:val="1tenchuong Char"/>
    <w:basedOn w:val="DefaultParagraphFont"/>
    <w:link w:val="BodyText"/>
    <w:rsid w:val="00190AAB"/>
    <w:rPr>
      <w:rFonts w:ascii=".VnTime" w:eastAsia="Calibri" w:hAnsi=".VnTime" w:cs="Times New Roman"/>
      <w:szCs w:val="24"/>
      <w:lang w:val="x-none" w:eastAsia="x-none"/>
    </w:rPr>
  </w:style>
  <w:style w:type="paragraph" w:styleId="BalloonText">
    <w:name w:val="Balloon Text"/>
    <w:basedOn w:val="Normal"/>
    <w:link w:val="BalloonTextChar"/>
    <w:uiPriority w:val="99"/>
    <w:semiHidden/>
    <w:unhideWhenUsed/>
    <w:rsid w:val="002E7AA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7AA6"/>
    <w:rPr>
      <w:rFonts w:ascii="Tahoma" w:hAnsi="Tahoma" w:cs="Tahoma"/>
      <w:sz w:val="16"/>
      <w:szCs w:val="16"/>
    </w:rPr>
  </w:style>
  <w:style w:type="character" w:styleId="Hyperlink">
    <w:name w:val="Hyperlink"/>
    <w:basedOn w:val="DefaultParagraphFont"/>
    <w:uiPriority w:val="99"/>
    <w:semiHidden/>
    <w:unhideWhenUsed/>
    <w:rsid w:val="00310A41"/>
    <w:rPr>
      <w:color w:val="0000FF"/>
      <w:u w:val="single"/>
    </w:rPr>
  </w:style>
  <w:style w:type="table" w:styleId="TableGrid">
    <w:name w:val="Table Grid"/>
    <w:basedOn w:val="TableNormal"/>
    <w:uiPriority w:val="59"/>
    <w:rsid w:val="004558D1"/>
    <w:pPr>
      <w:spacing w:before="0"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5D6A83"/>
    <w:pPr>
      <w:spacing w:before="0" w:after="160" w:line="240" w:lineRule="exact"/>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3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0AAB"/>
    <w:pPr>
      <w:ind w:left="720"/>
      <w:contextualSpacing/>
    </w:pPr>
  </w:style>
  <w:style w:type="character" w:styleId="Strong">
    <w:name w:val="Strong"/>
    <w:basedOn w:val="DefaultParagraphFont"/>
    <w:qFormat/>
    <w:rsid w:val="00190AAB"/>
    <w:rPr>
      <w:b/>
      <w:bCs/>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10 "/>
    <w:basedOn w:val="DefaultParagraphFont"/>
    <w:link w:val="RefChar"/>
    <w:uiPriority w:val="99"/>
    <w:unhideWhenUsed/>
    <w:qFormat/>
    <w:rsid w:val="00190AAB"/>
    <w:rPr>
      <w:vertAlign w:val="superscript"/>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
    <w:basedOn w:val="Normal"/>
    <w:link w:val="FootnoteTextChar"/>
    <w:uiPriority w:val="99"/>
    <w:unhideWhenUsed/>
    <w:qFormat/>
    <w:rsid w:val="00190AAB"/>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190AAB"/>
    <w:rPr>
      <w:sz w:val="20"/>
      <w:szCs w:val="20"/>
    </w:rPr>
  </w:style>
  <w:style w:type="paragraph" w:styleId="Footer">
    <w:name w:val="footer"/>
    <w:basedOn w:val="Normal"/>
    <w:link w:val="FooterChar"/>
    <w:uiPriority w:val="99"/>
    <w:unhideWhenUsed/>
    <w:rsid w:val="00190AA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90AAB"/>
  </w:style>
  <w:style w:type="paragraph" w:styleId="NormalWeb">
    <w:name w:val="Normal (Web)"/>
    <w:basedOn w:val="Normal"/>
    <w:uiPriority w:val="99"/>
    <w:rsid w:val="00190AAB"/>
    <w:pPr>
      <w:spacing w:before="100" w:beforeAutospacing="1" w:after="100" w:afterAutospacing="1" w:line="240" w:lineRule="auto"/>
    </w:pPr>
    <w:rPr>
      <w:rFonts w:eastAsia="Calibri" w:cs="Times New Roman"/>
      <w:sz w:val="24"/>
      <w:szCs w:val="24"/>
    </w:rPr>
  </w:style>
  <w:style w:type="paragraph" w:styleId="BodyText">
    <w:name w:val="Body Text"/>
    <w:aliases w:val="1tenchuong"/>
    <w:basedOn w:val="Normal"/>
    <w:link w:val="BodyTextChar"/>
    <w:rsid w:val="00190AAB"/>
    <w:pPr>
      <w:spacing w:before="0" w:after="0" w:line="240" w:lineRule="auto"/>
      <w:ind w:right="-71"/>
    </w:pPr>
    <w:rPr>
      <w:rFonts w:ascii=".VnTime" w:eastAsia="Calibri" w:hAnsi=".VnTime" w:cs="Times New Roman"/>
      <w:szCs w:val="24"/>
      <w:lang w:val="x-none" w:eastAsia="x-none"/>
    </w:rPr>
  </w:style>
  <w:style w:type="character" w:customStyle="1" w:styleId="BodyTextChar">
    <w:name w:val="Body Text Char"/>
    <w:aliases w:val="1tenchuong Char"/>
    <w:basedOn w:val="DefaultParagraphFont"/>
    <w:link w:val="BodyText"/>
    <w:rsid w:val="00190AAB"/>
    <w:rPr>
      <w:rFonts w:ascii=".VnTime" w:eastAsia="Calibri" w:hAnsi=".VnTime" w:cs="Times New Roman"/>
      <w:szCs w:val="24"/>
      <w:lang w:val="x-none" w:eastAsia="x-none"/>
    </w:rPr>
  </w:style>
  <w:style w:type="paragraph" w:styleId="BalloonText">
    <w:name w:val="Balloon Text"/>
    <w:basedOn w:val="Normal"/>
    <w:link w:val="BalloonTextChar"/>
    <w:uiPriority w:val="99"/>
    <w:semiHidden/>
    <w:unhideWhenUsed/>
    <w:rsid w:val="002E7AA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7AA6"/>
    <w:rPr>
      <w:rFonts w:ascii="Tahoma" w:hAnsi="Tahoma" w:cs="Tahoma"/>
      <w:sz w:val="16"/>
      <w:szCs w:val="16"/>
    </w:rPr>
  </w:style>
  <w:style w:type="character" w:styleId="Hyperlink">
    <w:name w:val="Hyperlink"/>
    <w:basedOn w:val="DefaultParagraphFont"/>
    <w:uiPriority w:val="99"/>
    <w:semiHidden/>
    <w:unhideWhenUsed/>
    <w:rsid w:val="00310A41"/>
    <w:rPr>
      <w:color w:val="0000FF"/>
      <w:u w:val="single"/>
    </w:rPr>
  </w:style>
  <w:style w:type="table" w:styleId="TableGrid">
    <w:name w:val="Table Grid"/>
    <w:basedOn w:val="TableNormal"/>
    <w:uiPriority w:val="59"/>
    <w:rsid w:val="004558D1"/>
    <w:pPr>
      <w:spacing w:before="0"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5D6A83"/>
    <w:pPr>
      <w:spacing w:before="0"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35743">
      <w:bodyDiv w:val="1"/>
      <w:marLeft w:val="0"/>
      <w:marRight w:val="0"/>
      <w:marTop w:val="0"/>
      <w:marBottom w:val="0"/>
      <w:divBdr>
        <w:top w:val="none" w:sz="0" w:space="0" w:color="auto"/>
        <w:left w:val="none" w:sz="0" w:space="0" w:color="auto"/>
        <w:bottom w:val="none" w:sz="0" w:space="0" w:color="auto"/>
        <w:right w:val="none" w:sz="0" w:space="0" w:color="auto"/>
      </w:divBdr>
    </w:div>
    <w:div w:id="144010193">
      <w:bodyDiv w:val="1"/>
      <w:marLeft w:val="0"/>
      <w:marRight w:val="0"/>
      <w:marTop w:val="0"/>
      <w:marBottom w:val="0"/>
      <w:divBdr>
        <w:top w:val="none" w:sz="0" w:space="0" w:color="auto"/>
        <w:left w:val="none" w:sz="0" w:space="0" w:color="auto"/>
        <w:bottom w:val="none" w:sz="0" w:space="0" w:color="auto"/>
        <w:right w:val="none" w:sz="0" w:space="0" w:color="auto"/>
      </w:divBdr>
    </w:div>
    <w:div w:id="280456372">
      <w:bodyDiv w:val="1"/>
      <w:marLeft w:val="0"/>
      <w:marRight w:val="0"/>
      <w:marTop w:val="0"/>
      <w:marBottom w:val="0"/>
      <w:divBdr>
        <w:top w:val="none" w:sz="0" w:space="0" w:color="auto"/>
        <w:left w:val="none" w:sz="0" w:space="0" w:color="auto"/>
        <w:bottom w:val="none" w:sz="0" w:space="0" w:color="auto"/>
        <w:right w:val="none" w:sz="0" w:space="0" w:color="auto"/>
      </w:divBdr>
    </w:div>
    <w:div w:id="431584678">
      <w:bodyDiv w:val="1"/>
      <w:marLeft w:val="0"/>
      <w:marRight w:val="0"/>
      <w:marTop w:val="0"/>
      <w:marBottom w:val="0"/>
      <w:divBdr>
        <w:top w:val="none" w:sz="0" w:space="0" w:color="auto"/>
        <w:left w:val="none" w:sz="0" w:space="0" w:color="auto"/>
        <w:bottom w:val="none" w:sz="0" w:space="0" w:color="auto"/>
        <w:right w:val="none" w:sz="0" w:space="0" w:color="auto"/>
      </w:divBdr>
    </w:div>
    <w:div w:id="1024405771">
      <w:bodyDiv w:val="1"/>
      <w:marLeft w:val="0"/>
      <w:marRight w:val="0"/>
      <w:marTop w:val="0"/>
      <w:marBottom w:val="0"/>
      <w:divBdr>
        <w:top w:val="none" w:sz="0" w:space="0" w:color="auto"/>
        <w:left w:val="none" w:sz="0" w:space="0" w:color="auto"/>
        <w:bottom w:val="none" w:sz="0" w:space="0" w:color="auto"/>
        <w:right w:val="none" w:sz="0" w:space="0" w:color="auto"/>
      </w:divBdr>
    </w:div>
    <w:div w:id="1177814555">
      <w:bodyDiv w:val="1"/>
      <w:marLeft w:val="0"/>
      <w:marRight w:val="0"/>
      <w:marTop w:val="0"/>
      <w:marBottom w:val="0"/>
      <w:divBdr>
        <w:top w:val="none" w:sz="0" w:space="0" w:color="auto"/>
        <w:left w:val="none" w:sz="0" w:space="0" w:color="auto"/>
        <w:bottom w:val="none" w:sz="0" w:space="0" w:color="auto"/>
        <w:right w:val="none" w:sz="0" w:space="0" w:color="auto"/>
      </w:divBdr>
    </w:div>
    <w:div w:id="206459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6FA57-5326-4DDC-876E-692F0A502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4815</Words>
  <Characters>27447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MyPC</cp:lastModifiedBy>
  <cp:revision>4</cp:revision>
  <cp:lastPrinted>2019-08-29T08:29:00Z</cp:lastPrinted>
  <dcterms:created xsi:type="dcterms:W3CDTF">2024-03-27T10:11:00Z</dcterms:created>
  <dcterms:modified xsi:type="dcterms:W3CDTF">2024-10-31T07:20:00Z</dcterms:modified>
</cp:coreProperties>
</file>